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ind w:right="34" w:rightChars="16"/>
        <w:jc w:val="left"/>
        <w:rPr>
          <w:rFonts w:hint="eastAsia" w:ascii="黑体" w:hAnsi="黑体" w:eastAsia="黑体" w:cs="黑体"/>
          <w:bCs/>
          <w:kern w:val="0"/>
          <w:sz w:val="32"/>
          <w:szCs w:val="32"/>
        </w:rPr>
      </w:pPr>
      <w:r>
        <w:rPr>
          <w:rFonts w:hint="eastAsia" w:ascii="黑体" w:hAnsi="黑体" w:eastAsia="黑体" w:cs="黑体"/>
          <w:bCs/>
          <w:kern w:val="0"/>
          <w:sz w:val="32"/>
          <w:szCs w:val="32"/>
          <w:lang w:eastAsia="zh-CN"/>
        </w:rPr>
        <w:t>附件</w:t>
      </w:r>
      <w:r>
        <w:rPr>
          <w:rFonts w:hint="eastAsia" w:ascii="黑体" w:hAnsi="黑体" w:eastAsia="黑体" w:cs="黑体"/>
          <w:bCs/>
          <w:kern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after="200" w:line="570" w:lineRule="exact"/>
        <w:ind w:right="0" w:rightChars="0"/>
        <w:jc w:val="center"/>
        <w:textAlignment w:val="auto"/>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32"/>
          <w:szCs w:val="32"/>
          <w:lang w:eastAsia="zh-CN"/>
        </w:rPr>
        <w:t xml:space="preserve">  医疗器械电商平台经营者合规指引</w:t>
      </w:r>
      <w:r>
        <w:rPr>
          <w:rFonts w:hint="eastAsia" w:ascii="方正小标宋简体" w:hAnsi="方正小标宋简体" w:eastAsia="方正小标宋简体" w:cs="方正小标宋简体"/>
          <w:bCs/>
          <w:kern w:val="0"/>
          <w:sz w:val="32"/>
          <w:szCs w:val="32"/>
          <w:lang w:val="en-US" w:eastAsia="zh-CN"/>
        </w:rPr>
        <w:t>（第一版）</w:t>
      </w:r>
    </w:p>
    <w:tbl>
      <w:tblPr>
        <w:tblStyle w:val="10"/>
        <w:tblW w:w="14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7"/>
        <w:gridCol w:w="4078"/>
        <w:gridCol w:w="4260"/>
        <w:gridCol w:w="3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tblHeader/>
        </w:trPr>
        <w:tc>
          <w:tcPr>
            <w:tcW w:w="1837"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tLeast"/>
              <w:ind w:left="0" w:leftChars="0" w:right="0" w:rightChars="0"/>
              <w:jc w:val="center"/>
              <w:textAlignment w:val="auto"/>
              <w:rPr>
                <w:rFonts w:hint="eastAsia" w:ascii="黑体" w:hAnsi="黑体" w:eastAsia="黑体" w:cs="黑体"/>
                <w:b w:val="0"/>
                <w:bCs w:val="0"/>
                <w:kern w:val="0"/>
                <w:sz w:val="24"/>
                <w:szCs w:val="24"/>
                <w:vertAlign w:val="baseline"/>
                <w:lang w:eastAsia="zh-CN"/>
              </w:rPr>
            </w:pPr>
            <w:bookmarkStart w:id="1" w:name="_GoBack" w:colFirst="0" w:colLast="0"/>
            <w:r>
              <w:rPr>
                <w:rFonts w:hint="eastAsia" w:ascii="黑体" w:hAnsi="黑体" w:eastAsia="黑体" w:cs="黑体"/>
                <w:b w:val="0"/>
                <w:bCs w:val="0"/>
                <w:kern w:val="0"/>
                <w:sz w:val="24"/>
                <w:szCs w:val="24"/>
                <w:vertAlign w:val="baseline"/>
                <w:lang w:eastAsia="zh-CN"/>
              </w:rPr>
              <w:t>项目</w:t>
            </w:r>
          </w:p>
        </w:tc>
        <w:tc>
          <w:tcPr>
            <w:tcW w:w="4078"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kern w:val="0"/>
                <w:sz w:val="24"/>
                <w:szCs w:val="24"/>
                <w:vertAlign w:val="baseline"/>
                <w:lang w:val="en-US" w:eastAsia="zh-CN"/>
              </w:rPr>
            </w:pPr>
            <w:r>
              <w:rPr>
                <w:rFonts w:hint="default" w:ascii="黑体" w:hAnsi="黑体" w:eastAsia="黑体" w:cs="黑体"/>
                <w:b w:val="0"/>
                <w:bCs w:val="0"/>
                <w:kern w:val="0"/>
                <w:sz w:val="24"/>
                <w:szCs w:val="24"/>
                <w:vertAlign w:val="baseline"/>
                <w:lang w:eastAsia="zh-CN"/>
              </w:rPr>
              <w:t>合规</w:t>
            </w:r>
            <w:r>
              <w:rPr>
                <w:rFonts w:hint="eastAsia" w:ascii="黑体" w:hAnsi="黑体" w:eastAsia="黑体" w:cs="黑体"/>
                <w:b w:val="0"/>
                <w:bCs w:val="0"/>
                <w:kern w:val="0"/>
                <w:sz w:val="24"/>
                <w:szCs w:val="24"/>
                <w:vertAlign w:val="baseline"/>
                <w:lang w:val="en-US" w:eastAsia="zh-CN"/>
              </w:rPr>
              <w:t>要求</w:t>
            </w:r>
          </w:p>
        </w:tc>
        <w:tc>
          <w:tcPr>
            <w:tcW w:w="4260"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kern w:val="0"/>
                <w:sz w:val="24"/>
                <w:szCs w:val="24"/>
                <w:vertAlign w:val="baseline"/>
              </w:rPr>
            </w:pPr>
            <w:r>
              <w:rPr>
                <w:rFonts w:hint="default" w:ascii="黑体" w:hAnsi="黑体" w:eastAsia="黑体" w:cs="黑体"/>
                <w:b w:val="0"/>
                <w:bCs w:val="0"/>
                <w:color w:val="auto"/>
                <w:kern w:val="44"/>
                <w:sz w:val="24"/>
                <w:szCs w:val="24"/>
                <w:highlight w:val="none"/>
                <w:u w:val="none"/>
                <w:shd w:val="clear" w:color="auto" w:fill="auto"/>
                <w:lang w:eastAsia="zh-CN"/>
              </w:rPr>
              <w:t>违</w:t>
            </w:r>
            <w:r>
              <w:rPr>
                <w:rFonts w:hint="eastAsia" w:ascii="黑体" w:hAnsi="黑体" w:eastAsia="黑体" w:cs="黑体"/>
                <w:b w:val="0"/>
                <w:bCs w:val="0"/>
                <w:color w:val="auto"/>
                <w:kern w:val="44"/>
                <w:sz w:val="24"/>
                <w:szCs w:val="24"/>
                <w:highlight w:val="none"/>
                <w:u w:val="none"/>
                <w:shd w:val="clear" w:color="auto" w:fill="auto"/>
                <w:lang w:val="en-US" w:eastAsia="zh-CN"/>
              </w:rPr>
              <w:t>规风险提示</w:t>
            </w:r>
          </w:p>
        </w:tc>
        <w:tc>
          <w:tcPr>
            <w:tcW w:w="3996"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kern w:val="44"/>
                <w:sz w:val="24"/>
                <w:szCs w:val="24"/>
                <w:highlight w:val="none"/>
                <w:shd w:val="clear" w:color="auto" w:fill="auto"/>
                <w:lang w:eastAsia="zh-CN"/>
              </w:rPr>
              <w:t>合规指引</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trPr>
        <w:tc>
          <w:tcPr>
            <w:tcW w:w="1837" w:type="dxa"/>
            <w:vMerge w:val="restart"/>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宋体" w:hAnsi="宋体" w:eastAsia="宋体" w:cs="宋体"/>
                <w:bCs/>
                <w:kern w:val="0"/>
                <w:sz w:val="24"/>
                <w:szCs w:val="24"/>
                <w:vertAlign w:val="baseline"/>
                <w:lang w:val="en-US" w:eastAsia="zh-CN"/>
              </w:rPr>
            </w:pPr>
            <w:r>
              <w:rPr>
                <w:rFonts w:hint="eastAsia" w:ascii="黑体" w:hAnsi="黑体" w:eastAsia="黑体" w:cs="黑体"/>
                <w:b w:val="0"/>
                <w:bCs w:val="0"/>
                <w:color w:val="auto"/>
                <w:kern w:val="44"/>
                <w:sz w:val="24"/>
                <w:szCs w:val="24"/>
                <w:highlight w:val="none"/>
                <w:u w:val="none"/>
                <w:shd w:val="clear" w:color="auto" w:fill="auto"/>
                <w:lang w:val="en-US" w:eastAsia="zh-CN"/>
              </w:rPr>
              <w:t>主体资质</w:t>
            </w:r>
          </w:p>
        </w:tc>
        <w:tc>
          <w:tcPr>
            <w:tcW w:w="4078"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1.应当依法办理互联网药品信息服务备案，并取得《增值电信业务经营许可证》。</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取得或者超出有效期使用《互联网药品信息服务资格证书》从事互联网药品信息服务的，由药品监督管理部门给予警告，并责令其停止从事互联网药品信息服务；情节严重的，移送相关部门，依照有关法律、法规给予处罚。</w:t>
            </w:r>
          </w:p>
        </w:tc>
        <w:tc>
          <w:tcPr>
            <w:tcW w:w="3996" w:type="dxa"/>
            <w:vMerge w:val="restart"/>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1.在医疗器械网络交易中从事为交易双方或者多方提供网络经营场所、交易撮合、信息发布等服务的，应办理互联网药品信息服务备案、医疗器械网络交易服务第三方平台备案。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1837"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tLeast"/>
              <w:ind w:right="0" w:rightChars="0"/>
              <w:jc w:val="left"/>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2.应当办理医疗器械网络交易服务第三方平台备案。</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2.医疗器械网络交易服务第三方平台提供者未按规定备案的，由药品监督管理部门责令限期改正；拒不改正的，向社会公告，处3万元以下罚款；2.</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从事医疗器械网络销售的企业、医疗器械网络交易服务第三方平台条件发生变化，不再满足规定要求的；</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从事医疗器械网络销售的企业、医疗器械网络交易服务第三方平台提供者不配合药品监督管理部门的监督检查，或者拒绝、隐瞒、不如实提供相关材料和数据的。</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由药品监督管理部门责令限期改正；给予警告；拒不改正的，处由药品监督管理部门责令限期改正；拒不改正的，向社会公告，处1万元以上3万元以下罚款</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tLeast"/>
              <w:ind w:right="0" w:rightChars="0"/>
              <w:jc w:val="both"/>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3.医疗器械网络交易服务第三方平台备案信息发生变化的，应当及时变更备案。</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3.医疗器械网络交易服务第三方平台备案事项发生变化未按规定办理变更的，由药品监督管理部门责令改正，给予警告；拒不改正的，处5000元以上2万元以下罚款。</w:t>
            </w:r>
          </w:p>
        </w:tc>
        <w:tc>
          <w:tcPr>
            <w:tcW w:w="3996"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vMerge w:val="restart"/>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color w:val="auto"/>
                <w:kern w:val="44"/>
                <w:sz w:val="24"/>
                <w:szCs w:val="24"/>
                <w:highlight w:val="none"/>
                <w:u w:val="none"/>
                <w:shd w:val="clear" w:color="auto" w:fill="auto"/>
                <w:lang w:val="en-US" w:eastAsia="zh-CN"/>
              </w:rPr>
              <w:t>体系建设</w:t>
            </w:r>
          </w:p>
        </w:tc>
        <w:tc>
          <w:tcPr>
            <w:tcW w:w="4078"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1.</w:t>
            </w:r>
            <w:r>
              <w:rPr>
                <w:rFonts w:hint="eastAsia" w:ascii="仿宋_GB2312" w:hAnsi="仿宋_GB2312" w:eastAsia="仿宋_GB2312" w:cs="仿宋_GB2312"/>
                <w:b/>
                <w:bCs/>
                <w:color w:val="auto"/>
                <w:kern w:val="44"/>
                <w:sz w:val="24"/>
                <w:szCs w:val="24"/>
                <w:highlight w:val="none"/>
                <w:u w:val="none"/>
                <w:shd w:val="clear" w:color="auto" w:fill="auto"/>
                <w:lang w:val="en" w:eastAsia="zh-CN"/>
              </w:rPr>
              <w:t>制度建设</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w:t>
            </w:r>
            <w:bookmarkStart w:id="0" w:name="OLE_LINK1"/>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电商平台经营者</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应当依照</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网络经营</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规范建立健全覆盖医疗器械网络交易服务全过程</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的质量管理制度、工作程序和记录等质量管理体系文件</w:t>
            </w:r>
            <w:bookmarkEnd w:id="0"/>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w:t>
            </w:r>
          </w:p>
        </w:tc>
        <w:tc>
          <w:tcPr>
            <w:tcW w:w="4260"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医疗器械网络交易服务第三方平台提供者未按规定建立并执行质量管理制度的，由药品监督管理部门责令改正，给予警告；拒不拒不改正的，处5000元以上2万元以下罚款。</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3" w:hRule="atLeast"/>
        </w:trPr>
        <w:tc>
          <w:tcPr>
            <w:tcW w:w="1837"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2.机构设置</w:t>
            </w:r>
            <w:r>
              <w:rPr>
                <w:rFonts w:hint="eastAsia" w:ascii="仿宋_GB2312" w:hAnsi="仿宋_GB2312" w:eastAsia="仿宋_GB2312" w:cs="仿宋_GB2312"/>
                <w:b/>
                <w:bCs/>
                <w:color w:val="auto"/>
                <w:kern w:val="44"/>
                <w:sz w:val="24"/>
                <w:szCs w:val="24"/>
                <w:highlight w:val="none"/>
                <w:u w:val="none"/>
                <w:shd w:val="clear" w:color="auto" w:fill="auto"/>
                <w:lang w:val="en"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应当设立与医疗器械网络交易服务规模和医疗器械风险程度相适应的医疗器械质量安全管理机构，并设置相应工作岗位。未设立质量安全管理机构</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，应当指定专门的医疗器械质量安全管理人员履行质量安全管理机构</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职责。</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1.未按照要求设置与其规模相适应的质量安全管理机构或配备质量安全管理人员的，由县级以上监督管理部门责令改正，给予警告；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拒不改正的，</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处5000元以上2万元以下罚款。</w:t>
            </w:r>
          </w:p>
        </w:tc>
        <w:tc>
          <w:tcPr>
            <w:tcW w:w="3996"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质量管理机构应当负责质量信息的收集和管理，并建立医疗器械质量档案，应至少包括国家局发布的产品召回、质量不合格、分类调整等公告通告；</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2.质量安全管理负责人应独立履职，对网络销售经营者入网</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、医疗器械信息发布</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等</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具</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有裁决</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trPr>
        <w:tc>
          <w:tcPr>
            <w:tcW w:w="1837"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3.信息展示。</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电商平台经营者应当在其网站首页、客户端、应用程序主页面显著位置展示其医疗器械网络交易服务第三方平台备案编号，</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在网站醒目位置及时发布产品质量安全隐患等相关信息。</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1.未按照《医疗器械网络销售监督管理办法》</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展示其医疗器械网络交易服务第三方平台备案编号</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的，由县级以上监督管理部门责令改正，给予警告；拒不改正的，处5000元以上1万元以下罚款。</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numPr>
                <w:ilvl w:val="0"/>
                <w:numId w:val="1"/>
              </w:numPr>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客户端、应用程序等主页应</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在显著</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位置展示医疗器械网络交易服务第三方平台备案编号；</w:t>
            </w:r>
          </w:p>
          <w:p>
            <w:pPr>
              <w:keepNext w:val="0"/>
              <w:keepLines w:val="0"/>
              <w:pageBreakBefore w:val="0"/>
              <w:numPr>
                <w:ilvl w:val="0"/>
                <w:numId w:val="1"/>
              </w:numPr>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电商平台经营者应通过技术手段对平台内涉及医疗器械网络销售单位产品进行区分。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837" w:type="dxa"/>
            <w:vMerge w:val="restart"/>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color w:val="auto"/>
                <w:kern w:val="44"/>
                <w:sz w:val="24"/>
                <w:szCs w:val="24"/>
                <w:highlight w:val="none"/>
                <w:u w:val="none"/>
                <w:shd w:val="clear" w:color="auto" w:fill="auto"/>
                <w:lang w:val="en-US" w:eastAsia="zh-CN"/>
              </w:rPr>
              <w:t>入网管理</w:t>
            </w:r>
          </w:p>
        </w:tc>
        <w:tc>
          <w:tcPr>
            <w:tcW w:w="4078"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rPr>
              <w:t>1.规则制定。</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电商平台经营者应当制定并执行保障平台内医疗器械网络销售质量安全的平台规则，与入网的网络销售经营者签订书面协议，明确医疗器械网络销售质量管理要求，约定双方质量责任和义务。</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平台规则、入网协议等文件中明确对入网</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的</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网络销售经营者</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资质审核、</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展示</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经营资质信息</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和产品</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信息</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等有关管理要求，以及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发生</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医疗器械</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质量投诉</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不良事件</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rPr>
              <w:t>违法</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rPr>
              <w:t>违规行为等情形</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rPr>
              <w:t>时的处置措施。</w:t>
            </w:r>
          </w:p>
        </w:tc>
        <w:tc>
          <w:tcPr>
            <w:tcW w:w="4260" w:type="dxa"/>
            <w:noWrap w:val="0"/>
            <w:vAlign w:val="top"/>
          </w:tcPr>
          <w:p>
            <w:pPr>
              <w:keepNext w:val="0"/>
              <w:keepLines w:val="0"/>
              <w:pageBreakBefore w:val="0"/>
              <w:widowControl/>
              <w:suppressLineNumbers w:val="0"/>
              <w:kinsoku/>
              <w:wordWrap/>
              <w:topLinePunct w:val="0"/>
              <w:autoSpaceDE/>
              <w:autoSpaceDN/>
              <w:bidi w:val="0"/>
              <w:adjustRightInd/>
              <w:snapToGrid/>
              <w:spacing w:line="360" w:lineRule="atLeast"/>
              <w:ind w:right="0" w:rightChars="0"/>
              <w:jc w:val="left"/>
              <w:textAlignment w:val="auto"/>
              <w:rPr>
                <w:sz w:val="24"/>
                <w:szCs w:val="24"/>
              </w:rPr>
            </w:pP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FF0000"/>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建议设置统一的格式、模块供网络销售经营者展示企业产品资质；应明确要求网络销售经营者上传医疗器械产品资质信息，包括名称、医疗器械注册证编号、第一类医疗器械备案编号、注册人（备案人）名称、生产企业或者受托生产企业名称、进口医疗器械代理人名称以及产品型号、规格、销售适用对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autoSpaceDN/>
              <w:bidi w:val="0"/>
              <w:adjustRightInd/>
              <w:snapToGrid/>
              <w:spacing w:beforeAutospacing="0" w:afterAutospacing="0" w:line="360" w:lineRule="atLeast"/>
              <w:ind w:right="0" w:rightChars="0"/>
              <w:jc w:val="both"/>
              <w:textAlignment w:val="auto"/>
              <w:rPr>
                <w:rFonts w:hint="default" w:ascii="仿宋_GB2312" w:hAnsi="仿宋_GB2312" w:eastAsia="仿宋_GB2312" w:cs="仿宋_GB2312"/>
                <w:b w:val="0"/>
                <w:bCs w:val="0"/>
                <w:color w:val="auto"/>
                <w:kern w:val="44"/>
                <w:sz w:val="24"/>
                <w:szCs w:val="24"/>
                <w:highlight w:val="none"/>
                <w:u w:val="none"/>
                <w:shd w:val="clear" w:color="auto" w:fill="auto"/>
                <w:lang w:val="en-US" w:eastAsia="zh-CN" w:bidi="ar-SA"/>
              </w:rPr>
            </w:pP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vMerge w:val="continue"/>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pStyle w:val="3"/>
              <w:keepNext w:val="0"/>
              <w:keepLines w:val="0"/>
              <w:pageBreakBefore w:val="0"/>
              <w:widowControl w:val="0"/>
              <w:kinsoku/>
              <w:wordWrap/>
              <w:overflowPunct w:val="0"/>
              <w:topLinePunct w:val="0"/>
              <w:autoSpaceDE/>
              <w:autoSpaceDN/>
              <w:bidi w:val="0"/>
              <w:adjustRightInd/>
              <w:snapToGrid/>
              <w:spacing w:before="0" w:beforeLines="0" w:after="0" w:afterLines="0"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bCs/>
                <w:color w:val="auto"/>
                <w:kern w:val="44"/>
                <w:sz w:val="24"/>
                <w:szCs w:val="24"/>
                <w:highlight w:val="none"/>
                <w:u w:val="none"/>
                <w:shd w:val="clear" w:color="auto" w:fill="auto"/>
                <w:lang w:val="en-US" w:eastAsia="zh-CN" w:bidi="ar-SA"/>
              </w:rPr>
              <w:t>2.实名登记。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电商平台经营者应当对入网的网络销售经营者</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进行</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实名登记，按照《</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网络销售质量管理规范》要求，查验</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其</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医疗器械经营许可、备案情况和所经营医疗器械产品注册、备案情况，建立档案</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并及时更新，保证信息真实</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。相关档案至少每六个月核验更新一次。</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1.网络销售经营者实名登记信息应包括企业名称、社会统一代码、法人姓名、住所、生产经营地址、仓库地址（如涉及）、联系电话、医疗器械生产经营许可</w:t>
            </w:r>
            <w:r>
              <w:rPr>
                <w:rFonts w:hint="default" w:ascii="仿宋_GB2312" w:hAnsi="仿宋_GB2312" w:eastAsia="仿宋_GB2312" w:cs="仿宋_GB2312"/>
                <w:b w:val="0"/>
                <w:bCs w:val="0"/>
                <w:color w:val="auto"/>
                <w:kern w:val="44"/>
                <w:sz w:val="24"/>
                <w:szCs w:val="24"/>
                <w:highlight w:val="none"/>
                <w:u w:val="none"/>
                <w:shd w:val="clear" w:color="auto" w:fill="auto"/>
                <w:lang w:eastAsia="zh-CN"/>
              </w:rPr>
              <w:t>、</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t>备案证号、生产经营许可范围、注册证号（如涉及注册人）等。</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color w:val="auto"/>
                <w:kern w:val="44"/>
                <w:sz w:val="24"/>
                <w:szCs w:val="24"/>
                <w:highlight w:val="none"/>
                <w:u w:val="none"/>
                <w:shd w:val="clear" w:color="auto" w:fill="auto"/>
                <w:lang w:val="en-US" w:eastAsia="zh-CN"/>
              </w:rPr>
              <w:t>软件系统</w:t>
            </w:r>
          </w:p>
        </w:tc>
        <w:tc>
          <w:tcPr>
            <w:tcW w:w="4078"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电商平台经营者应当确保其网站、客户端、应用程序及其相关软件系统具备《</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医疗器械</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网络销售质量管理规范》第三十一条规定的质量管理功能。</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电商平台经营者应当确保其网站、客户端、应用程序及其相关软件系统各类数据的录入、修改、保存等操作符合授权范围、操作规程和管理制度的要求，保证数据原始、真实、准确、安全和可追溯。系统需具备以下功能：对接近失效的质量管理基础数据进行提示预警，提醒相关人员及时更新资料；当数据失效时，自动锁定相关业务功能，待数据更新生效后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color w:val="auto"/>
                <w:kern w:val="44"/>
                <w:sz w:val="24"/>
                <w:szCs w:val="24"/>
                <w:highlight w:val="none"/>
                <w:u w:val="none"/>
                <w:shd w:val="clear" w:color="auto" w:fill="auto"/>
                <w:lang w:val="en-US" w:eastAsia="zh-CN"/>
              </w:rPr>
              <w:t>信息保存</w:t>
            </w:r>
          </w:p>
        </w:tc>
        <w:tc>
          <w:tcPr>
            <w:tcW w:w="4078"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电商平台经营者应当按照要求保</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存</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平台内网络销售经营者发布的医疗器械产品信息、支付记录、物流快递、退换货以及售后</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服务</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等交易信息。</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r>
              <w:rPr>
                <w:rFonts w:hint="eastAsia" w:ascii="黑体" w:hAnsi="黑体" w:eastAsia="黑体" w:cs="黑体"/>
                <w:b w:val="0"/>
                <w:bCs w:val="0"/>
                <w:color w:val="auto"/>
                <w:kern w:val="44"/>
                <w:sz w:val="24"/>
                <w:szCs w:val="24"/>
                <w:highlight w:val="none"/>
                <w:u w:val="none"/>
                <w:shd w:val="clear" w:color="auto" w:fill="auto"/>
                <w:lang w:val="en" w:eastAsia="zh-CN"/>
              </w:rPr>
              <w:t>检查监控</w:t>
            </w:r>
          </w:p>
        </w:tc>
        <w:tc>
          <w:tcPr>
            <w:tcW w:w="4078"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电商平台经营者</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bidi="ar-SA"/>
              </w:rPr>
              <w:t>应当持续对平台内网络销售经营者展示的经营主体、产品信息及其经营行为进行检查和监控，并保存相关记录</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。发现入驻企业存在超范围经营、发布虚假信息、夸大宣传等违法违规行为、无法取得联系或者存在其他严重安全隐患的，应当立即对其停止网络交易服务，并保存有关记录，向</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bidi="ar-SA"/>
              </w:rPr>
              <w:t>网络销售经营者所在地设区的市级药品监督管理部门报告。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发现入驻企业被药品监督管理部门责令停产停业、吊销许可证件等处罚，或者平台交易的产品被药品监督管理部门暂停销售或者停止销售的，应当立即停止提供相关网络交易服务。</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360" w:lineRule="atLeast"/>
              <w:ind w:left="0"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第三方平台提供者应通过技术手段对发货地址与</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生产经营（仓库）地址不一致、个人店铺销售第二、三类医疗器械等异常情况进行识别，发现违法违规行为应及时</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bidi="ar-SA"/>
              </w:rPr>
              <w:t>向网络销售经营者所在地设区的市级药品监督管理部门报告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7"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 w:eastAsia="zh-CN"/>
              </w:rPr>
            </w:pPr>
            <w:r>
              <w:rPr>
                <w:rFonts w:hint="eastAsia" w:ascii="黑体" w:hAnsi="黑体" w:eastAsia="黑体" w:cs="黑体"/>
                <w:b w:val="0"/>
                <w:bCs w:val="0"/>
                <w:color w:val="auto"/>
                <w:kern w:val="44"/>
                <w:sz w:val="24"/>
                <w:szCs w:val="24"/>
                <w:highlight w:val="none"/>
                <w:u w:val="none"/>
                <w:shd w:val="clear" w:color="auto" w:fill="auto"/>
                <w:lang w:val="en" w:eastAsia="zh-CN"/>
              </w:rPr>
              <w:t>违法违规行为处置</w:t>
            </w:r>
          </w:p>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电商平台经营者应当建立平台内医疗器械网络销售违法违规行为发现处置制度，发现平台内网络销售经营者存在违法违规行为</w:t>
            </w: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应当及时采取相关措施，记录其违规行为和整改情况，</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bidi="ar-SA"/>
              </w:rPr>
              <w:t>并向</w:t>
            </w:r>
            <w:r>
              <w:rPr>
                <w:rFonts w:hint="default" w:ascii="仿宋_GB2312" w:hAnsi="仿宋_GB2312" w:eastAsia="仿宋_GB2312" w:cs="仿宋_GB2312"/>
                <w:b w:val="0"/>
                <w:bCs w:val="0"/>
                <w:color w:val="auto"/>
                <w:kern w:val="44"/>
                <w:sz w:val="24"/>
                <w:szCs w:val="24"/>
                <w:highlight w:val="none"/>
                <w:u w:val="none"/>
                <w:shd w:val="clear" w:color="auto" w:fill="auto"/>
                <w:lang w:val="en-US" w:eastAsia="zh-CN" w:bidi="ar-SA"/>
              </w:rPr>
              <w:t>网络销售</w:t>
            </w:r>
            <w:r>
              <w:rPr>
                <w:rFonts w:hint="default" w:ascii="仿宋_GB2312" w:hAnsi="仿宋_GB2312" w:eastAsia="仿宋_GB2312" w:cs="仿宋_GB2312"/>
                <w:b w:val="0"/>
                <w:bCs w:val="0"/>
                <w:color w:val="auto"/>
                <w:kern w:val="44"/>
                <w:sz w:val="24"/>
                <w:szCs w:val="24"/>
                <w:highlight w:val="none"/>
                <w:u w:val="none"/>
                <w:shd w:val="clear" w:color="auto" w:fill="auto"/>
                <w:lang w:val="en" w:eastAsia="zh-CN" w:bidi="ar-SA"/>
              </w:rPr>
              <w:t>经营者所在地设区的市级药品监督管理部门报告</w:t>
            </w:r>
            <w:r>
              <w:rPr>
                <w:rFonts w:hint="eastAsia" w:ascii="仿宋_GB2312" w:hAnsi="仿宋_GB2312" w:eastAsia="仿宋_GB2312" w:cs="仿宋_GB2312"/>
                <w:b w:val="0"/>
                <w:bCs w:val="0"/>
                <w:color w:val="auto"/>
                <w:kern w:val="44"/>
                <w:sz w:val="24"/>
                <w:szCs w:val="24"/>
                <w:highlight w:val="none"/>
                <w:u w:val="none"/>
                <w:shd w:val="clear" w:color="auto" w:fill="auto"/>
                <w:lang w:val="en" w:eastAsia="zh-CN" w:bidi="ar-SA"/>
              </w:rPr>
              <w:t>。</w:t>
            </w:r>
          </w:p>
        </w:tc>
        <w:tc>
          <w:tcPr>
            <w:tcW w:w="4260" w:type="dxa"/>
            <w:noWrap w:val="0"/>
            <w:vAlign w:val="top"/>
          </w:tcPr>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rPr>
            </w:pPr>
          </w:p>
        </w:tc>
        <w:tc>
          <w:tcPr>
            <w:tcW w:w="3996" w:type="dxa"/>
            <w:noWrap w:val="0"/>
            <w:vAlign w:val="top"/>
          </w:tcPr>
          <w:p>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color w:val="auto"/>
                <w:kern w:val="44"/>
                <w:sz w:val="24"/>
                <w:szCs w:val="24"/>
                <w:highlight w:val="none"/>
                <w:shd w:val="clear" w:color="auto" w:fill="auto"/>
                <w:lang w:val="en-US" w:eastAsia="zh-CN"/>
              </w:rPr>
            </w:pPr>
            <w:r>
              <w:rPr>
                <w:rFonts w:hint="eastAsia" w:ascii="仿宋_GB2312" w:hAnsi="仿宋_GB2312" w:eastAsia="仿宋_GB2312" w:cs="仿宋_GB2312"/>
                <w:color w:val="auto"/>
                <w:kern w:val="44"/>
                <w:sz w:val="24"/>
                <w:szCs w:val="24"/>
                <w:highlight w:val="none"/>
                <w:shd w:val="clear" w:color="auto" w:fill="auto"/>
                <w:lang w:val="en-US" w:eastAsia="zh-CN"/>
              </w:rPr>
              <w:t>1.违法违规行为处置记录应包括网络销售单位名称、问题产品名称、存在问题、处置结果、是否</w:t>
            </w:r>
            <w:r>
              <w:rPr>
                <w:rFonts w:hint="default" w:ascii="仿宋_GB2312" w:hAnsi="仿宋_GB2312" w:eastAsia="仿宋_GB2312" w:cs="仿宋_GB2312"/>
                <w:color w:val="auto"/>
                <w:kern w:val="44"/>
                <w:sz w:val="24"/>
                <w:szCs w:val="24"/>
                <w:highlight w:val="none"/>
                <w:shd w:val="clear" w:color="auto" w:fill="auto"/>
                <w:lang w:eastAsia="zh-CN"/>
              </w:rPr>
              <w:t>报告</w:t>
            </w:r>
            <w:r>
              <w:rPr>
                <w:rFonts w:hint="eastAsia" w:ascii="仿宋_GB2312" w:hAnsi="仿宋_GB2312" w:eastAsia="仿宋_GB2312" w:cs="仿宋_GB2312"/>
                <w:color w:val="auto"/>
                <w:kern w:val="44"/>
                <w:sz w:val="24"/>
                <w:szCs w:val="24"/>
                <w:highlight w:val="none"/>
                <w:shd w:val="clear" w:color="auto" w:fill="auto"/>
                <w:lang w:val="en-US" w:eastAsia="zh-CN"/>
              </w:rPr>
              <w:t>药品监管部门等。</w:t>
            </w:r>
          </w:p>
          <w:p>
            <w:pPr>
              <w:keepNext w:val="0"/>
              <w:keepLines w:val="0"/>
              <w:pageBreakBefore w:val="0"/>
              <w:kinsoku/>
              <w:wordWrap/>
              <w:overflowPunct/>
              <w:topLinePunct w:val="0"/>
              <w:autoSpaceDE/>
              <w:autoSpaceDN/>
              <w:bidi w:val="0"/>
              <w:adjustRightInd/>
              <w:snapToGrid/>
              <w:spacing w:line="360" w:lineRule="atLeast"/>
              <w:ind w:right="0" w:rightChars="0"/>
              <w:jc w:val="both"/>
              <w:textAlignment w:val="auto"/>
              <w:rPr>
                <w:rFonts w:hint="eastAsia" w:eastAsia="黑体"/>
                <w:bCs/>
                <w:kern w:val="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trPr>
        <w:tc>
          <w:tcPr>
            <w:tcW w:w="1837" w:type="dxa"/>
            <w:noWrap w:val="0"/>
            <w:vAlign w:val="center"/>
          </w:tcPr>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 w:eastAsia="zh-CN"/>
              </w:rPr>
            </w:pPr>
            <w:r>
              <w:rPr>
                <w:rFonts w:hint="eastAsia" w:ascii="黑体" w:hAnsi="黑体" w:eastAsia="黑体" w:cs="黑体"/>
                <w:b w:val="0"/>
                <w:bCs w:val="0"/>
                <w:color w:val="auto"/>
                <w:kern w:val="44"/>
                <w:sz w:val="24"/>
                <w:szCs w:val="24"/>
                <w:highlight w:val="none"/>
                <w:u w:val="none"/>
                <w:shd w:val="clear" w:color="auto" w:fill="auto"/>
                <w:lang w:val="en" w:eastAsia="zh-CN"/>
              </w:rPr>
              <w:t>风险监测与控制</w:t>
            </w:r>
          </w:p>
          <w:p>
            <w:pPr>
              <w:keepNext w:val="0"/>
              <w:keepLines w:val="0"/>
              <w:pageBreakBefore w:val="0"/>
              <w:kinsoku/>
              <w:wordWrap/>
              <w:overflowPunct/>
              <w:topLinePunct w:val="0"/>
              <w:autoSpaceDE/>
              <w:autoSpaceDN/>
              <w:bidi w:val="0"/>
              <w:adjustRightInd/>
              <w:snapToGrid/>
              <w:spacing w:line="360" w:lineRule="atLeast"/>
              <w:ind w:right="0" w:rightChars="0"/>
              <w:jc w:val="center"/>
              <w:textAlignment w:val="auto"/>
              <w:rPr>
                <w:rFonts w:hint="eastAsia" w:ascii="黑体" w:hAnsi="黑体" w:eastAsia="黑体" w:cs="黑体"/>
                <w:b w:val="0"/>
                <w:bCs w:val="0"/>
                <w:color w:val="auto"/>
                <w:kern w:val="44"/>
                <w:sz w:val="24"/>
                <w:szCs w:val="24"/>
                <w:highlight w:val="none"/>
                <w:u w:val="none"/>
                <w:shd w:val="clear" w:color="auto" w:fill="auto"/>
                <w:lang w:val="en-US" w:eastAsia="zh-CN"/>
              </w:rPr>
            </w:pPr>
          </w:p>
        </w:tc>
        <w:tc>
          <w:tcPr>
            <w:tcW w:w="4078"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t>1.电商平台经营者应当主动关注和收集药品监督管理部门网站发布的医疗器械监督检查、行政处罚、监督抽检、产品召回等监管动态信息，并及时开展自查。</w:t>
            </w:r>
          </w:p>
        </w:tc>
        <w:tc>
          <w:tcPr>
            <w:tcW w:w="4260"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p>
        </w:tc>
        <w:tc>
          <w:tcPr>
            <w:tcW w:w="3996" w:type="dxa"/>
            <w:noWrap w:val="0"/>
            <w:vAlign w:val="top"/>
          </w:tcPr>
          <w:p>
            <w:pPr>
              <w:keepNext w:val="0"/>
              <w:keepLines w:val="0"/>
              <w:pageBreakBefore w:val="0"/>
              <w:widowControl w:val="0"/>
              <w:kinsoku/>
              <w:wordWrap/>
              <w:overflowPunct/>
              <w:topLinePunct w:val="0"/>
              <w:autoSpaceDE/>
              <w:autoSpaceDN/>
              <w:bidi w:val="0"/>
              <w:adjustRightInd/>
              <w:snapToGrid/>
              <w:spacing w:line="360" w:lineRule="atLeast"/>
              <w:ind w:right="0" w:rightChars="0"/>
              <w:textAlignment w:val="auto"/>
              <w:rPr>
                <w:rFonts w:hint="eastAsia" w:ascii="仿宋_GB2312" w:hAnsi="仿宋_GB2312" w:eastAsia="仿宋_GB2312" w:cs="仿宋_GB2312"/>
                <w:b w:val="0"/>
                <w:bCs w:val="0"/>
                <w:color w:val="auto"/>
                <w:kern w:val="44"/>
                <w:sz w:val="24"/>
                <w:szCs w:val="24"/>
                <w:highlight w:val="none"/>
                <w:u w:val="none"/>
                <w:shd w:val="clear" w:color="auto" w:fill="auto"/>
                <w:lang w:val="en-US" w:eastAsia="zh-CN" w:bidi="ar-SA"/>
              </w:rPr>
            </w:pPr>
            <w:r>
              <w:rPr>
                <w:rFonts w:hint="eastAsia" w:ascii="仿宋_GB2312" w:hAnsi="仿宋_GB2312" w:eastAsia="仿宋_GB2312" w:cs="仿宋_GB2312"/>
                <w:b w:val="0"/>
                <w:bCs w:val="0"/>
                <w:color w:val="auto"/>
                <w:kern w:val="44"/>
                <w:sz w:val="24"/>
                <w:szCs w:val="24"/>
                <w:highlight w:val="none"/>
                <w:shd w:val="clear" w:color="auto" w:fill="auto"/>
                <w:lang w:val="en-US" w:eastAsia="zh-CN" w:bidi="ar-SA"/>
              </w:rPr>
              <w:t>1.电商平台经营者应对</w:t>
            </w:r>
            <w:r>
              <w:rPr>
                <w:rFonts w:hint="eastAsia" w:ascii="仿宋_GB2312" w:hAnsi="仿宋_GB2312" w:eastAsia="仿宋_GB2312" w:cs="仿宋_GB2312"/>
                <w:color w:val="auto"/>
                <w:kern w:val="44"/>
                <w:sz w:val="24"/>
                <w:szCs w:val="24"/>
                <w:highlight w:val="none"/>
                <w:shd w:val="clear" w:color="auto" w:fill="auto"/>
                <w:lang w:val="en-US" w:eastAsia="zh-CN"/>
              </w:rPr>
              <w:t>社会关注度高、投诉举报较为集中及药监部门发布的医疗器械质量信息涉及的医疗器械产品开展定向监测。</w:t>
            </w:r>
          </w:p>
        </w:tc>
      </w:tr>
    </w:tbl>
    <w:p>
      <w:pPr>
        <w:keepNext w:val="0"/>
        <w:keepLines w:val="0"/>
        <w:pageBreakBefore w:val="0"/>
        <w:widowControl w:val="0"/>
        <w:kinsoku/>
        <w:wordWrap/>
        <w:overflowPunct/>
        <w:topLinePunct w:val="0"/>
        <w:autoSpaceDE/>
        <w:autoSpaceDN/>
        <w:bidi w:val="0"/>
        <w:adjustRightInd/>
        <w:snapToGrid/>
        <w:spacing w:after="200" w:line="570" w:lineRule="exact"/>
        <w:ind w:right="0" w:rightChars="0"/>
        <w:jc w:val="center"/>
        <w:textAlignment w:val="auto"/>
        <w:rPr>
          <w:rFonts w:hint="eastAsia" w:ascii="方正小标宋简体" w:hAnsi="方正小标宋简体" w:eastAsia="方正小标宋简体" w:cs="方正小标宋简体"/>
          <w:bCs/>
          <w:kern w:val="0"/>
          <w:sz w:val="44"/>
          <w:szCs w:val="44"/>
        </w:rPr>
      </w:pPr>
    </w:p>
    <w:p>
      <w:pPr>
        <w:jc w:val="left"/>
        <w:rPr>
          <w:rFonts w:hint="eastAsia" w:eastAsia="黑体"/>
          <w:bCs/>
          <w:kern w:val="0"/>
          <w:sz w:val="32"/>
          <w:szCs w:val="32"/>
          <w:lang w:eastAsia="zh-CN"/>
        </w:rPr>
      </w:pPr>
    </w:p>
    <w:sectPr>
      <w:pgSz w:w="16838" w:h="11906" w:orient="landscape"/>
      <w:pgMar w:top="1800" w:right="1440" w:bottom="1800" w:left="144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iberation Sans">
    <w:panose1 w:val="020B0604020202020204"/>
    <w:charset w:val="00"/>
    <w:family w:val="swiss"/>
    <w:pitch w:val="default"/>
    <w:sig w:usb0="A00002AF" w:usb1="500078FB" w:usb2="00000000" w:usb3="00000000" w:csb0="6000009F" w:csb1="DFD70000"/>
  </w:font>
  <w:font w:name="Noto Sans CJK SC Regular">
    <w:altName w:val="汉仪新人文宋简"/>
    <w:panose1 w:val="00000000000000000000"/>
    <w:charset w:val="00"/>
    <w:family w:val="auto"/>
    <w:pitch w:val="default"/>
    <w:sig w:usb0="00000000" w:usb1="00000000" w:usb2="00000000"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汉仪新人文宋简">
    <w:panose1 w:val="00020600040101010101"/>
    <w:charset w:val="86"/>
    <w:family w:val="auto"/>
    <w:pitch w:val="default"/>
    <w:sig w:usb0="A00002BF" w:usb1="1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1D13E5"/>
    <w:multiLevelType w:val="singleLevel"/>
    <w:tmpl w:val="781D13E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true"/>
  <w:drawingGridHorizontalOrigin w:val="0"/>
  <w:drawingGridVerticalOrigin w:val="0"/>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63777"/>
    <w:rsid w:val="09C7778F"/>
    <w:rsid w:val="207606D2"/>
    <w:rsid w:val="231A3174"/>
    <w:rsid w:val="241E5CD3"/>
    <w:rsid w:val="2A13795C"/>
    <w:rsid w:val="2E28319D"/>
    <w:rsid w:val="2E9D6EE1"/>
    <w:rsid w:val="2EDD678B"/>
    <w:rsid w:val="2F2820FC"/>
    <w:rsid w:val="32D443B2"/>
    <w:rsid w:val="347B4A7C"/>
    <w:rsid w:val="34F97E4B"/>
    <w:rsid w:val="364C4922"/>
    <w:rsid w:val="3E8F1850"/>
    <w:rsid w:val="3F7B1DD4"/>
    <w:rsid w:val="3FCBEF8E"/>
    <w:rsid w:val="4C966935"/>
    <w:rsid w:val="541C54DC"/>
    <w:rsid w:val="597E8BBD"/>
    <w:rsid w:val="5C8B304B"/>
    <w:rsid w:val="62652D6A"/>
    <w:rsid w:val="662047A4"/>
    <w:rsid w:val="6A786D8C"/>
    <w:rsid w:val="6B7EDAF7"/>
    <w:rsid w:val="6BFD715A"/>
    <w:rsid w:val="6EBA3E17"/>
    <w:rsid w:val="6FFFC3A7"/>
    <w:rsid w:val="72834520"/>
    <w:rsid w:val="736A07CD"/>
    <w:rsid w:val="73FB20F0"/>
    <w:rsid w:val="763C80AF"/>
    <w:rsid w:val="76445F86"/>
    <w:rsid w:val="766976D1"/>
    <w:rsid w:val="767E1BAA"/>
    <w:rsid w:val="76F600F4"/>
    <w:rsid w:val="786F6C1D"/>
    <w:rsid w:val="78740EE3"/>
    <w:rsid w:val="7BF6A342"/>
    <w:rsid w:val="7C286864"/>
    <w:rsid w:val="7CF628E3"/>
    <w:rsid w:val="7D4514BF"/>
    <w:rsid w:val="7DF75A35"/>
    <w:rsid w:val="7DFB54A7"/>
    <w:rsid w:val="AA2FAE64"/>
    <w:rsid w:val="D3FEA03F"/>
    <w:rsid w:val="E63F9162"/>
    <w:rsid w:val="E7FF802D"/>
    <w:rsid w:val="EAF77914"/>
    <w:rsid w:val="ED9DE703"/>
    <w:rsid w:val="F2FF5C35"/>
    <w:rsid w:val="FAFFDD7B"/>
    <w:rsid w:val="FBFFFF9C"/>
    <w:rsid w:val="FE15E922"/>
    <w:rsid w:val="FE7F10D1"/>
    <w:rsid w:val="FF2E1B42"/>
    <w:rsid w:val="FF7F81AD"/>
    <w:rsid w:val="FFFF365A"/>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qFormat/>
    <w:uiPriority w:val="0"/>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caption"/>
    <w:basedOn w:val="1"/>
    <w:next w:val="1"/>
    <w:qFormat/>
    <w:uiPriority w:val="0"/>
    <w:pPr>
      <w:widowControl w:val="0"/>
      <w:suppressLineNumbers/>
      <w:suppressAutoHyphens/>
      <w:spacing w:before="120" w:after="120"/>
    </w:pPr>
    <w:rPr>
      <w:i/>
      <w:iCs/>
      <w:sz w:val="24"/>
      <w:szCs w:val="24"/>
    </w:rPr>
  </w:style>
  <w:style w:type="paragraph" w:styleId="5">
    <w:name w:val="Body Text"/>
    <w:basedOn w:val="1"/>
    <w:qFormat/>
    <w:uiPriority w:val="0"/>
    <w:pPr>
      <w:spacing w:before="0" w:after="140" w:line="276" w:lineRule="auto"/>
    </w:pPr>
  </w:style>
  <w:style w:type="paragraph" w:styleId="6">
    <w:name w:val="footer"/>
    <w:basedOn w:val="1"/>
    <w:qFormat/>
    <w:uiPriority w:val="99"/>
    <w:pPr>
      <w:tabs>
        <w:tab w:val="center" w:pos="4153"/>
        <w:tab w:val="right" w:pos="8306"/>
      </w:tabs>
      <w:snapToGrid w:val="0"/>
      <w:jc w:val="left"/>
    </w:pPr>
    <w:rPr>
      <w:kern w:val="0"/>
      <w:sz w:val="18"/>
      <w:szCs w:val="18"/>
    </w:rPr>
  </w:style>
  <w:style w:type="paragraph" w:styleId="7">
    <w:name w:val="List"/>
    <w:basedOn w:val="5"/>
    <w:qFormat/>
    <w:uiPriority w:val="0"/>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默认段落字体1"/>
    <w:qFormat/>
    <w:uiPriority w:val="0"/>
  </w:style>
  <w:style w:type="paragraph" w:customStyle="1" w:styleId="13">
    <w:name w:val="Heading"/>
    <w:basedOn w:val="1"/>
    <w:next w:val="5"/>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4">
    <w:name w:val="Index"/>
    <w:basedOn w:val="1"/>
    <w:qFormat/>
    <w:uiPriority w:val="0"/>
    <w:pPr>
      <w:widowControl w:val="0"/>
      <w:suppressLineNumbers/>
      <w:suppressAutoHyphens/>
    </w:pPr>
  </w:style>
  <w:style w:type="character" w:customStyle="1" w:styleId="15">
    <w:name w:val="font01"/>
    <w:qFormat/>
    <w:uiPriority w:val="0"/>
    <w:rPr>
      <w:rFonts w:hint="eastAsia"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2808</Words>
  <Characters>2850</Characters>
  <Lines>1</Lines>
  <Paragraphs>1</Paragraphs>
  <TotalTime>13</TotalTime>
  <ScaleCrop>false</ScaleCrop>
  <LinksUpToDate>false</LinksUpToDate>
  <CharactersWithSpaces>2852</CharactersWithSpaces>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2018-11-29T01:47:00Z</dcterms:created>
  <dc:creator>guest</dc:creator>
  <cp:lastModifiedBy>毛风波</cp:lastModifiedBy>
  <dcterms:modified xsi:type="dcterms:W3CDTF">2025-06-20T13:19:23Z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D0793BB6EBEE44F58D48C2088BBD40E9_13</vt:lpwstr>
  </property>
  <property fmtid="{D5CDD505-2E9C-101B-9397-08002B2CF9AE}" pid="4" name="KSOTemplateDocerSaveRecord">
    <vt:lpwstr>eyJoZGlkIjoiM2RhZmI5NWU4NGU3NzA2ZDRjMmQ3OTkyYTM5YmFiYmQiLCJ1c2VySWQiOiI0MzI0Nzg4MjQifQ==</vt:lpwstr>
  </property>
</Properties>
</file>