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C2D585">
      <w:pPr>
        <w:keepNext w:val="0"/>
        <w:keepLines w:val="0"/>
        <w:pageBreakBefore w:val="0"/>
        <w:widowControl w:val="0"/>
        <w:kinsoku/>
        <w:wordWrap/>
        <w:overflowPunct w:val="0"/>
        <w:topLinePunct w:val="0"/>
        <w:autoSpaceDE/>
        <w:autoSpaceDN/>
        <w:bidi w:val="0"/>
        <w:spacing w:line="560" w:lineRule="exact"/>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rPr>
        <w:t>附件2</w:t>
      </w:r>
    </w:p>
    <w:p w14:paraId="3487F129">
      <w:pPr>
        <w:keepNext w:val="0"/>
        <w:keepLines w:val="0"/>
        <w:pageBreakBefore w:val="0"/>
        <w:widowControl w:val="0"/>
        <w:kinsoku/>
        <w:wordWrap/>
        <w:overflowPunct w:val="0"/>
        <w:topLinePunct w:val="0"/>
        <w:autoSpaceDE/>
        <w:autoSpaceDN/>
        <w:bidi w:val="0"/>
        <w:spacing w:line="560" w:lineRule="exact"/>
        <w:ind w:firstLine="880" w:firstLineChars="200"/>
        <w:jc w:val="both"/>
        <w:textAlignment w:val="auto"/>
        <w:rPr>
          <w:rFonts w:eastAsia="方正小标宋简体"/>
          <w:sz w:val="44"/>
          <w:szCs w:val="44"/>
          <w:highlight w:val="none"/>
        </w:rPr>
      </w:pPr>
    </w:p>
    <w:p w14:paraId="3FA5103C">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ascii="方正小标宋简体" w:eastAsia="方正小标宋简体"/>
          <w:sz w:val="44"/>
          <w:szCs w:val="44"/>
          <w:highlight w:val="none"/>
        </w:rPr>
      </w:pPr>
      <w:r>
        <w:rPr>
          <w:rFonts w:hint="eastAsia" w:ascii="方正小标宋简体" w:eastAsia="方正小标宋简体"/>
          <w:sz w:val="44"/>
          <w:szCs w:val="44"/>
          <w:highlight w:val="none"/>
        </w:rPr>
        <w:t>《药品附条件批准上市申请审评审批</w:t>
      </w:r>
    </w:p>
    <w:p w14:paraId="58FCFA8E">
      <w:pPr>
        <w:keepNext w:val="0"/>
        <w:keepLines w:val="0"/>
        <w:pageBreakBefore w:val="0"/>
        <w:widowControl w:val="0"/>
        <w:kinsoku/>
        <w:wordWrap/>
        <w:overflowPunct w:val="0"/>
        <w:topLinePunct w:val="0"/>
        <w:autoSpaceDE/>
        <w:autoSpaceDN/>
        <w:bidi w:val="0"/>
        <w:spacing w:line="560" w:lineRule="exact"/>
        <w:jc w:val="center"/>
        <w:textAlignment w:val="auto"/>
        <w:rPr>
          <w:rFonts w:eastAsia="方正小标宋简体"/>
          <w:sz w:val="44"/>
          <w:szCs w:val="44"/>
          <w:highlight w:val="none"/>
        </w:rPr>
      </w:pPr>
      <w:r>
        <w:rPr>
          <w:rFonts w:hint="eastAsia" w:ascii="方正小标宋简体" w:eastAsia="方正小标宋简体"/>
          <w:sz w:val="44"/>
          <w:szCs w:val="44"/>
          <w:highlight w:val="none"/>
        </w:rPr>
        <w:t>工作程序（试行）》</w:t>
      </w:r>
      <w:r>
        <w:rPr>
          <w:rFonts w:hint="eastAsia" w:eastAsia="方正小标宋简体"/>
          <w:sz w:val="44"/>
          <w:szCs w:val="44"/>
          <w:highlight w:val="none"/>
        </w:rPr>
        <w:t>政策解读</w:t>
      </w:r>
    </w:p>
    <w:p w14:paraId="503174B3">
      <w:pPr>
        <w:keepNext w:val="0"/>
        <w:keepLines w:val="0"/>
        <w:pageBreakBefore w:val="0"/>
        <w:widowControl w:val="0"/>
        <w:kinsoku/>
        <w:wordWrap/>
        <w:overflowPunct w:val="0"/>
        <w:topLinePunct w:val="0"/>
        <w:autoSpaceDE/>
        <w:autoSpaceDN/>
        <w:bidi w:val="0"/>
        <w:spacing w:line="560" w:lineRule="exact"/>
        <w:jc w:val="center"/>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（征求意见稿）</w:t>
      </w:r>
    </w:p>
    <w:p w14:paraId="249C5EF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方正楷体_GBK" w:hAnsi="方正楷体_GBK" w:eastAsia="方正楷体_GBK" w:cs="方正楷体_GBK"/>
          <w:sz w:val="32"/>
          <w:szCs w:val="32"/>
          <w:highlight w:val="none"/>
        </w:rPr>
      </w:pPr>
    </w:p>
    <w:p w14:paraId="1DFB8E6A">
      <w:pPr>
        <w:keepNext w:val="0"/>
        <w:keepLines w:val="0"/>
        <w:pageBreakBefore w:val="0"/>
        <w:widowControl w:val="0"/>
        <w:numPr>
          <w:ilvl w:val="0"/>
          <w:numId w:val="1"/>
        </w:numPr>
        <w:kinsoku/>
        <w:wordWrap/>
        <w:overflowPunct w:val="0"/>
        <w:topLinePunct w:val="0"/>
        <w:autoSpaceDE/>
        <w:autoSpaceDN/>
        <w:bidi w:val="0"/>
        <w:spacing w:line="560" w:lineRule="exact"/>
        <w:ind w:firstLine="640" w:firstLineChars="200"/>
        <w:jc w:val="both"/>
        <w:textAlignment w:val="auto"/>
        <w:rPr>
          <w:rFonts w:eastAsia="黑体"/>
          <w:sz w:val="32"/>
          <w:szCs w:val="32"/>
          <w:highlight w:val="none"/>
        </w:rPr>
      </w:pPr>
      <w:r>
        <w:rPr>
          <w:rFonts w:hint="eastAsia" w:eastAsia="黑体"/>
          <w:sz w:val="32"/>
          <w:szCs w:val="32"/>
          <w:highlight w:val="none"/>
        </w:rPr>
        <w:t>附条件批准上市的药品，其</w:t>
      </w:r>
      <w:r>
        <w:rPr>
          <w:rFonts w:eastAsia="黑体"/>
          <w:sz w:val="32"/>
          <w:szCs w:val="32"/>
          <w:highlight w:val="none"/>
        </w:rPr>
        <w:t>药品注册证书有效期如何确定？</w:t>
      </w:r>
      <w:r>
        <w:rPr>
          <w:rFonts w:hint="eastAsia" w:eastAsia="黑体"/>
          <w:sz w:val="32"/>
          <w:szCs w:val="32"/>
          <w:highlight w:val="none"/>
        </w:rPr>
        <w:t>转为常规批准后，其药品注册证书有效期如何调整？</w:t>
      </w:r>
    </w:p>
    <w:p w14:paraId="62B8BBE6">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highlight w:val="none"/>
        </w:rPr>
      </w:pPr>
      <w:r>
        <w:rPr>
          <w:rFonts w:hint="eastAsia" w:eastAsia="仿宋_GB2312"/>
          <w:sz w:val="32"/>
          <w:highlight w:val="none"/>
        </w:rPr>
        <w:t>附条件批准</w:t>
      </w:r>
      <w:r>
        <w:rPr>
          <w:rFonts w:hint="eastAsia" w:eastAsia="仿宋_GB2312"/>
          <w:sz w:val="32"/>
          <w:highlight w:val="none"/>
          <w:lang w:eastAsia="zh-CN"/>
        </w:rPr>
        <w:t>时</w:t>
      </w:r>
      <w:r>
        <w:rPr>
          <w:rFonts w:hint="eastAsia" w:eastAsia="仿宋_GB2312"/>
          <w:sz w:val="32"/>
          <w:highlight w:val="none"/>
        </w:rPr>
        <w:t>，每个附条件批准的适应症单独设置</w:t>
      </w:r>
      <w:r>
        <w:rPr>
          <w:rFonts w:eastAsia="仿宋_GB2312"/>
          <w:sz w:val="32"/>
          <w:highlight w:val="none"/>
        </w:rPr>
        <w:t>药品注册证书有效期</w:t>
      </w:r>
      <w:r>
        <w:rPr>
          <w:rFonts w:hint="eastAsia" w:eastAsia="仿宋_GB2312"/>
          <w:sz w:val="32"/>
          <w:highlight w:val="none"/>
        </w:rPr>
        <w:t>，原则上，可在所附条件研究完成时限的基础上增加一年。所附条件研究完成时限</w:t>
      </w:r>
      <w:r>
        <w:rPr>
          <w:rFonts w:eastAsia="仿宋_GB2312"/>
          <w:sz w:val="32"/>
          <w:highlight w:val="none"/>
        </w:rPr>
        <w:t>由药审中心在审评中与申请人沟通交流后确定</w:t>
      </w:r>
      <w:r>
        <w:rPr>
          <w:rFonts w:hint="eastAsia" w:eastAsia="仿宋_GB2312"/>
          <w:sz w:val="32"/>
          <w:highlight w:val="none"/>
        </w:rPr>
        <w:t>。</w:t>
      </w:r>
    </w:p>
    <w:p w14:paraId="7AE55582">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_GB2312"/>
          <w:sz w:val="32"/>
          <w:szCs w:val="32"/>
          <w:highlight w:val="none"/>
          <w:lang w:val="en-US" w:eastAsia="zh-CN"/>
        </w:rPr>
      </w:pPr>
      <w:r>
        <w:rPr>
          <w:rFonts w:hint="eastAsia" w:eastAsia="仿宋_GB2312"/>
          <w:sz w:val="32"/>
          <w:highlight w:val="none"/>
          <w:lang w:eastAsia="zh-CN"/>
        </w:rPr>
        <w:t>附条件批准的</w:t>
      </w:r>
      <w:r>
        <w:rPr>
          <w:rFonts w:hint="eastAsia" w:eastAsia="仿宋_GB2312"/>
          <w:sz w:val="32"/>
          <w:highlight w:val="none"/>
        </w:rPr>
        <w:t>适应症转为常规批准后，对其药品注册证书有效期进行调整，具体为：对于相关药品所有适应症均未常规上市的，对首个转为常规批准的适应症重新给予五年药品注册证书有效期（</w:t>
      </w:r>
      <w:r>
        <w:rPr>
          <w:rFonts w:hint="eastAsia" w:ascii="Times New Roman" w:hAnsi="Times New Roman" w:eastAsia="仿宋_GB2312"/>
          <w:sz w:val="32"/>
          <w:szCs w:val="32"/>
          <w:highlight w:val="none"/>
        </w:rPr>
        <w:t>自</w:t>
      </w:r>
      <w:r>
        <w:rPr>
          <w:rFonts w:hint="eastAsia" w:ascii="Times New Roman" w:hAnsi="Times New Roman" w:eastAsia="仿宋_GB2312"/>
          <w:sz w:val="32"/>
          <w:szCs w:val="32"/>
          <w:highlight w:val="none"/>
          <w:lang w:eastAsia="zh-CN"/>
        </w:rPr>
        <w:t>转为常规批准的注册申请</w:t>
      </w:r>
      <w:r>
        <w:rPr>
          <w:rFonts w:hint="eastAsia" w:ascii="Times New Roman" w:hAnsi="Times New Roman" w:eastAsia="仿宋_GB2312"/>
          <w:sz w:val="32"/>
          <w:szCs w:val="32"/>
          <w:highlight w:val="none"/>
        </w:rPr>
        <w:t>批准之日起算</w:t>
      </w:r>
      <w:r>
        <w:rPr>
          <w:rFonts w:hint="eastAsia" w:eastAsia="仿宋_GB2312"/>
          <w:sz w:val="32"/>
          <w:highlight w:val="none"/>
        </w:rPr>
        <w:t>）；对于相关药品中已有常规上市适应症的，</w:t>
      </w:r>
      <w:r>
        <w:rPr>
          <w:rFonts w:hint="eastAsia" w:eastAsia="仿宋_GB2312"/>
          <w:sz w:val="32"/>
          <w:highlight w:val="none"/>
          <w:lang w:eastAsia="zh-CN"/>
        </w:rPr>
        <w:t>其他附条件批准的适应症</w:t>
      </w:r>
      <w:r>
        <w:rPr>
          <w:rFonts w:hint="eastAsia" w:eastAsia="仿宋_GB2312"/>
          <w:sz w:val="32"/>
          <w:highlight w:val="none"/>
        </w:rPr>
        <w:t>转为常规批准</w:t>
      </w:r>
      <w:r>
        <w:rPr>
          <w:rFonts w:hint="eastAsia" w:eastAsia="仿宋_GB2312"/>
          <w:sz w:val="32"/>
          <w:highlight w:val="none"/>
          <w:lang w:eastAsia="zh-CN"/>
        </w:rPr>
        <w:t>后，</w:t>
      </w:r>
      <w:r>
        <w:rPr>
          <w:rFonts w:hint="eastAsia" w:eastAsia="仿宋_GB2312"/>
          <w:sz w:val="32"/>
          <w:highlight w:val="none"/>
        </w:rPr>
        <w:t>药品注册证书有效期调整为与已常规上市适应症一致</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 xml:space="preserve"> </w:t>
      </w:r>
    </w:p>
    <w:p w14:paraId="2FC115E3">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黑体"/>
          <w:sz w:val="32"/>
          <w:szCs w:val="32"/>
          <w:highlight w:val="none"/>
        </w:rPr>
      </w:pPr>
      <w:r>
        <w:rPr>
          <w:rFonts w:hint="eastAsia" w:eastAsia="黑体"/>
          <w:sz w:val="32"/>
          <w:szCs w:val="32"/>
          <w:highlight w:val="none"/>
        </w:rPr>
        <w:t>二、《工作程序》二、（四）第三款中，附条件上市申请</w:t>
      </w:r>
      <w:r>
        <w:rPr>
          <w:rFonts w:hint="eastAsia" w:eastAsia="黑体"/>
          <w:sz w:val="32"/>
          <w:szCs w:val="32"/>
          <w:highlight w:val="none"/>
          <w:lang w:val="en-US" w:eastAsia="zh-CN"/>
        </w:rPr>
        <w:t>审评审批程序</w:t>
      </w:r>
      <w:r>
        <w:rPr>
          <w:rFonts w:hint="eastAsia" w:eastAsia="黑体"/>
          <w:sz w:val="32"/>
          <w:szCs w:val="32"/>
          <w:highlight w:val="none"/>
        </w:rPr>
        <w:t>转为常规批准程序</w:t>
      </w:r>
      <w:r>
        <w:rPr>
          <w:rFonts w:hint="eastAsia" w:eastAsia="黑体"/>
          <w:sz w:val="32"/>
          <w:szCs w:val="32"/>
          <w:highlight w:val="none"/>
          <w:lang w:val="en-US" w:eastAsia="zh-CN"/>
        </w:rPr>
        <w:t>的</w:t>
      </w:r>
      <w:r>
        <w:rPr>
          <w:rFonts w:hint="eastAsia" w:eastAsia="黑体"/>
          <w:sz w:val="32"/>
          <w:szCs w:val="32"/>
          <w:highlight w:val="none"/>
        </w:rPr>
        <w:t>具体程序是什么？</w:t>
      </w:r>
    </w:p>
    <w:p w14:paraId="717C5A74">
      <w:pPr>
        <w:pStyle w:val="3"/>
        <w:keepNext w:val="0"/>
        <w:keepLines w:val="0"/>
        <w:pageBreakBefore w:val="0"/>
        <w:widowControl w:val="0"/>
        <w:suppressLineNumbers w:val="0"/>
        <w:kinsoku/>
        <w:wordWrap/>
        <w:overflowPunct w:val="0"/>
        <w:topLinePunct w:val="0"/>
        <w:autoSpaceDE/>
        <w:autoSpaceDN/>
        <w:bidi w:val="0"/>
        <w:spacing w:before="0" w:beforeAutospacing="0" w:after="0" w:afterAutospacing="0" w:line="560" w:lineRule="exact"/>
        <w:ind w:left="0"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sz w:val="32"/>
          <w:szCs w:val="32"/>
          <w:highlight w:val="none"/>
        </w:rPr>
        <w:t>附条件</w:t>
      </w:r>
      <w:r>
        <w:rPr>
          <w:rFonts w:hint="eastAsia" w:eastAsia="仿宋_GB2312"/>
          <w:sz w:val="32"/>
          <w:szCs w:val="32"/>
          <w:highlight w:val="none"/>
        </w:rPr>
        <w:t>上市注册</w:t>
      </w:r>
      <w:r>
        <w:rPr>
          <w:rFonts w:hint="eastAsia" w:ascii="Times New Roman" w:hAnsi="Times New Roman" w:eastAsia="仿宋_GB2312"/>
          <w:sz w:val="32"/>
          <w:szCs w:val="32"/>
          <w:highlight w:val="none"/>
        </w:rPr>
        <w:t>申请</w:t>
      </w:r>
      <w:r>
        <w:rPr>
          <w:rFonts w:hint="eastAsia" w:eastAsia="仿宋_GB2312"/>
          <w:sz w:val="32"/>
          <w:szCs w:val="32"/>
          <w:highlight w:val="none"/>
        </w:rPr>
        <w:t>的</w:t>
      </w:r>
      <w:r>
        <w:rPr>
          <w:rFonts w:hint="eastAsia" w:ascii="Times New Roman" w:hAnsi="Times New Roman" w:eastAsia="仿宋_GB2312"/>
          <w:sz w:val="32"/>
          <w:szCs w:val="32"/>
          <w:highlight w:val="none"/>
        </w:rPr>
        <w:t>审评过程中，申请人完成</w:t>
      </w:r>
      <w:r>
        <w:rPr>
          <w:rFonts w:hint="eastAsia" w:eastAsia="仿宋_GB2312"/>
          <w:sz w:val="32"/>
          <w:szCs w:val="32"/>
          <w:highlight w:val="none"/>
        </w:rPr>
        <w:t>该品种的</w:t>
      </w:r>
      <w:r>
        <w:rPr>
          <w:rFonts w:hint="eastAsia" w:ascii="Times New Roman" w:hAnsi="Times New Roman" w:eastAsia="仿宋_GB2312"/>
          <w:sz w:val="32"/>
          <w:szCs w:val="32"/>
          <w:highlight w:val="none"/>
        </w:rPr>
        <w:t>确证性</w:t>
      </w:r>
      <w:r>
        <w:rPr>
          <w:rFonts w:hint="eastAsia" w:eastAsia="仿宋_GB2312"/>
          <w:sz w:val="32"/>
          <w:szCs w:val="32"/>
          <w:highlight w:val="none"/>
        </w:rPr>
        <w:t>临床研究，可通过公文提出转为常规批准</w:t>
      </w:r>
      <w:r>
        <w:rPr>
          <w:rFonts w:hint="eastAsia" w:eastAsia="仿宋_GB2312"/>
          <w:sz w:val="32"/>
          <w:szCs w:val="32"/>
          <w:highlight w:val="none"/>
          <w:lang w:eastAsia="zh-CN"/>
        </w:rPr>
        <w:t>，</w:t>
      </w:r>
      <w:r>
        <w:rPr>
          <w:rFonts w:hint="eastAsia" w:eastAsia="仿宋_GB2312"/>
          <w:sz w:val="32"/>
          <w:szCs w:val="32"/>
          <w:highlight w:val="none"/>
          <w:lang w:val="en-US" w:eastAsia="zh-CN"/>
        </w:rPr>
        <w:t>药审中心评估同意的，可发补要求申请人补充确证性研究资料</w:t>
      </w:r>
      <w:r>
        <w:rPr>
          <w:rFonts w:hint="eastAsia" w:eastAsia="仿宋_GB2312"/>
          <w:sz w:val="32"/>
          <w:szCs w:val="32"/>
          <w:highlight w:val="none"/>
        </w:rPr>
        <w:t>，并视审评需要发起药物临床试验现场核查</w:t>
      </w:r>
      <w:r>
        <w:rPr>
          <w:rFonts w:hint="eastAsia" w:eastAsia="仿宋_GB2312"/>
          <w:sz w:val="32"/>
          <w:szCs w:val="32"/>
          <w:highlight w:val="none"/>
          <w:lang w:eastAsia="zh-CN"/>
        </w:rPr>
        <w:t>。</w:t>
      </w:r>
      <w:r>
        <w:rPr>
          <w:rFonts w:ascii="Times New Roman" w:hAnsi="Times New Roman" w:eastAsia="仿宋_GB2312"/>
          <w:sz w:val="32"/>
          <w:szCs w:val="32"/>
          <w:highlight w:val="none"/>
        </w:rPr>
        <w:t>审评通过的，</w:t>
      </w:r>
      <w:r>
        <w:rPr>
          <w:rFonts w:hint="eastAsia" w:eastAsia="仿宋_GB2312"/>
          <w:sz w:val="32"/>
          <w:szCs w:val="32"/>
          <w:highlight w:val="none"/>
        </w:rPr>
        <w:t>予以</w:t>
      </w:r>
      <w:r>
        <w:rPr>
          <w:rFonts w:ascii="Times New Roman" w:hAnsi="Times New Roman" w:eastAsia="仿宋_GB2312"/>
          <w:sz w:val="32"/>
          <w:szCs w:val="32"/>
          <w:highlight w:val="none"/>
        </w:rPr>
        <w:t>常规批准</w:t>
      </w:r>
      <w:r>
        <w:rPr>
          <w:rFonts w:hint="eastAsia" w:eastAsia="仿宋_GB2312"/>
          <w:sz w:val="32"/>
          <w:szCs w:val="32"/>
          <w:highlight w:val="none"/>
        </w:rPr>
        <w:t>。</w:t>
      </w:r>
      <w:r>
        <w:rPr>
          <w:rFonts w:ascii="Times New Roman" w:hAnsi="Times New Roman" w:eastAsia="仿宋_GB2312"/>
          <w:sz w:val="32"/>
          <w:szCs w:val="32"/>
          <w:highlight w:val="none"/>
        </w:rPr>
        <w:t>审评时限</w:t>
      </w:r>
      <w:r>
        <w:rPr>
          <w:rFonts w:hint="eastAsia" w:ascii="Times New Roman" w:hAnsi="Times New Roman" w:eastAsia="仿宋_GB2312"/>
          <w:sz w:val="32"/>
          <w:szCs w:val="32"/>
          <w:highlight w:val="none"/>
        </w:rPr>
        <w:t>参</w:t>
      </w:r>
      <w:r>
        <w:rPr>
          <w:rFonts w:ascii="Times New Roman" w:hAnsi="Times New Roman" w:eastAsia="仿宋_GB2312"/>
          <w:sz w:val="32"/>
          <w:szCs w:val="32"/>
          <w:highlight w:val="none"/>
        </w:rPr>
        <w:t>照《药品注册管理办法》</w:t>
      </w:r>
      <w:r>
        <w:rPr>
          <w:rFonts w:hint="eastAsia" w:ascii="Times New Roman" w:hAnsi="Times New Roman" w:eastAsia="仿宋_GB2312"/>
          <w:sz w:val="32"/>
          <w:szCs w:val="32"/>
          <w:highlight w:val="none"/>
          <w:lang w:eastAsia="zh-CN"/>
        </w:rPr>
        <w:t>有关</w:t>
      </w:r>
      <w:r>
        <w:rPr>
          <w:rFonts w:hint="eastAsia" w:ascii="Times New Roman" w:hAnsi="Times New Roman" w:eastAsia="仿宋_GB2312"/>
          <w:sz w:val="32"/>
          <w:szCs w:val="32"/>
          <w:highlight w:val="none"/>
          <w:lang w:val="en-US" w:eastAsia="zh-CN"/>
        </w:rPr>
        <w:t>规定延长</w:t>
      </w:r>
      <w:r>
        <w:rPr>
          <w:rFonts w:hint="eastAsia" w:ascii="Times New Roman" w:hAnsi="Times New Roman" w:eastAsia="仿宋_GB2312"/>
          <w:sz w:val="32"/>
          <w:szCs w:val="32"/>
          <w:highlight w:val="none"/>
        </w:rPr>
        <w:t>。转为常规批准后，不再符合优先审评</w:t>
      </w:r>
      <w:r>
        <w:rPr>
          <w:rFonts w:hint="eastAsia" w:ascii="Times New Roman" w:hAnsi="Times New Roman" w:eastAsia="仿宋_GB2312"/>
          <w:sz w:val="32"/>
          <w:szCs w:val="32"/>
          <w:highlight w:val="none"/>
          <w:lang w:val="en-US" w:eastAsia="zh-CN"/>
        </w:rPr>
        <w:t>范围的</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按照《</w:t>
      </w:r>
      <w:r>
        <w:rPr>
          <w:rFonts w:hint="eastAsia" w:ascii="Times New Roman" w:hAnsi="Times New Roman" w:eastAsia="仿宋_GB2312" w:cs="Times New Roman"/>
          <w:i w:val="0"/>
          <w:iCs w:val="0"/>
          <w:caps w:val="0"/>
          <w:color w:val="000000"/>
          <w:spacing w:val="0"/>
          <w:sz w:val="32"/>
          <w:szCs w:val="32"/>
          <w:highlight w:val="none"/>
        </w:rPr>
        <w:t>药品上市许可优先审评审批工作程序（试行）</w:t>
      </w:r>
      <w:r>
        <w:rPr>
          <w:rFonts w:hint="eastAsia" w:ascii="Times New Roman" w:hAnsi="Times New Roman" w:eastAsia="仿宋_GB2312" w:cs="Times New Roman"/>
          <w:i w:val="0"/>
          <w:iCs w:val="0"/>
          <w:caps w:val="0"/>
          <w:color w:val="000000"/>
          <w:spacing w:val="0"/>
          <w:sz w:val="32"/>
          <w:szCs w:val="32"/>
          <w:highlight w:val="none"/>
          <w:lang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有关</w:t>
      </w:r>
      <w:r>
        <w:rPr>
          <w:rFonts w:hint="eastAsia" w:ascii="Times New Roman" w:hAnsi="Times New Roman" w:eastAsia="仿宋_GB2312" w:cs="Times New Roman"/>
          <w:i w:val="0"/>
          <w:iCs w:val="0"/>
          <w:caps w:val="0"/>
          <w:spacing w:val="0"/>
          <w:sz w:val="32"/>
          <w:szCs w:val="32"/>
          <w:highlight w:val="none"/>
          <w:lang w:val="en-US" w:eastAsia="zh-CN"/>
        </w:rPr>
        <w:t>终止</w:t>
      </w:r>
      <w:r>
        <w:rPr>
          <w:rFonts w:hint="eastAsia" w:ascii="Times New Roman" w:hAnsi="Times New Roman" w:eastAsia="仿宋_GB2312" w:cs="Times New Roman"/>
          <w:i w:val="0"/>
          <w:iCs w:val="0"/>
          <w:caps w:val="0"/>
          <w:color w:val="000000"/>
          <w:spacing w:val="0"/>
          <w:sz w:val="32"/>
          <w:szCs w:val="32"/>
          <w:highlight w:val="none"/>
          <w:lang w:val="en-US" w:eastAsia="zh-CN"/>
        </w:rPr>
        <w:t>程序</w:t>
      </w:r>
      <w:r>
        <w:rPr>
          <w:rFonts w:hint="eastAsia" w:ascii="Times New Roman" w:hAnsi="Times New Roman" w:eastAsia="仿宋_GB2312" w:cs="Times New Roman"/>
          <w:i w:val="0"/>
          <w:iCs w:val="0"/>
          <w:caps w:val="0"/>
          <w:spacing w:val="0"/>
          <w:sz w:val="32"/>
          <w:szCs w:val="32"/>
          <w:highlight w:val="none"/>
          <w:lang w:val="en-US" w:eastAsia="zh-CN"/>
        </w:rPr>
        <w:t>办理</w:t>
      </w:r>
      <w:r>
        <w:rPr>
          <w:rFonts w:hint="eastAsia" w:ascii="Times New Roman" w:hAnsi="Times New Roman" w:eastAsia="仿宋_GB2312" w:cs="Times New Roman"/>
          <w:i w:val="0"/>
          <w:iCs w:val="0"/>
          <w:caps w:val="0"/>
          <w:color w:val="000000"/>
          <w:spacing w:val="0"/>
          <w:sz w:val="32"/>
          <w:szCs w:val="32"/>
          <w:highlight w:val="none"/>
          <w:lang w:val="en-US" w:eastAsia="zh-CN"/>
        </w:rPr>
        <w:t>。</w:t>
      </w:r>
    </w:p>
    <w:p w14:paraId="3D94CC0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default" w:eastAsia="黑体"/>
          <w:sz w:val="32"/>
          <w:szCs w:val="32"/>
          <w:highlight w:val="none"/>
          <w:lang w:val="en-US" w:eastAsia="zh-CN"/>
        </w:rPr>
      </w:pPr>
      <w:r>
        <w:rPr>
          <w:rFonts w:hint="eastAsia" w:eastAsia="黑体"/>
          <w:sz w:val="32"/>
          <w:szCs w:val="32"/>
          <w:highlight w:val="none"/>
        </w:rPr>
        <w:t>三、</w:t>
      </w:r>
      <w:r>
        <w:rPr>
          <w:rFonts w:hint="eastAsia" w:eastAsia="黑体"/>
          <w:sz w:val="32"/>
          <w:szCs w:val="32"/>
          <w:highlight w:val="none"/>
          <w:lang w:val="en-US" w:eastAsia="zh-CN"/>
        </w:rPr>
        <w:t>某产品上市，是否会对其他同类品种的附条件批准产生影响？</w:t>
      </w:r>
    </w:p>
    <w:p w14:paraId="70030941">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highlight w:val="none"/>
        </w:rPr>
        <w:t>某</w:t>
      </w:r>
      <w:r>
        <w:rPr>
          <w:rFonts w:ascii="仿宋_GB2312" w:eastAsia="仿宋_GB2312"/>
          <w:sz w:val="32"/>
          <w:szCs w:val="32"/>
          <w:highlight w:val="none"/>
        </w:rPr>
        <w:t>药品获附条件批准</w:t>
      </w:r>
      <w:r>
        <w:rPr>
          <w:rFonts w:hint="eastAsia" w:ascii="仿宋_GB2312" w:eastAsia="仿宋_GB2312"/>
          <w:sz w:val="32"/>
          <w:szCs w:val="32"/>
          <w:highlight w:val="none"/>
        </w:rPr>
        <w:t>上市</w:t>
      </w:r>
      <w:r>
        <w:rPr>
          <w:rFonts w:ascii="仿宋_GB2312" w:eastAsia="仿宋_GB2312"/>
          <w:sz w:val="32"/>
          <w:szCs w:val="32"/>
          <w:highlight w:val="none"/>
        </w:rPr>
        <w:t>后，</w:t>
      </w:r>
      <w:r>
        <w:rPr>
          <w:rFonts w:hint="eastAsia" w:ascii="仿宋_GB2312" w:eastAsia="仿宋_GB2312"/>
          <w:sz w:val="32"/>
          <w:szCs w:val="32"/>
          <w:highlight w:val="none"/>
          <w:lang w:val="en-US" w:eastAsia="zh-CN"/>
        </w:rPr>
        <w:t>对于其他在研的</w:t>
      </w:r>
      <w:r>
        <w:rPr>
          <w:rFonts w:ascii="仿宋_GB2312" w:eastAsia="仿宋_GB2312"/>
          <w:sz w:val="32"/>
          <w:szCs w:val="32"/>
          <w:highlight w:val="none"/>
        </w:rPr>
        <w:t>同机制、同靶点、同适应症药品</w:t>
      </w:r>
      <w:r>
        <w:rPr>
          <w:rFonts w:hint="eastAsia" w:ascii="仿宋_GB2312" w:eastAsia="仿宋_GB2312"/>
          <w:sz w:val="32"/>
          <w:szCs w:val="32"/>
          <w:highlight w:val="none"/>
          <w:lang w:eastAsia="zh-CN"/>
        </w:rPr>
        <w:t>（以下简称同类药品），</w:t>
      </w:r>
      <w:r>
        <w:rPr>
          <w:rFonts w:hint="eastAsia" w:ascii="仿宋_GB2312" w:eastAsia="仿宋_GB2312"/>
          <w:sz w:val="32"/>
          <w:szCs w:val="32"/>
          <w:highlight w:val="none"/>
        </w:rPr>
        <w:t>已</w:t>
      </w:r>
      <w:r>
        <w:rPr>
          <w:rFonts w:hint="eastAsia" w:ascii="仿宋_GB2312" w:eastAsia="仿宋_GB2312"/>
          <w:sz w:val="32"/>
          <w:szCs w:val="32"/>
          <w:highlight w:val="none"/>
          <w:lang w:val="en-US" w:eastAsia="zh-CN"/>
        </w:rPr>
        <w:t>与药审中心就</w:t>
      </w:r>
      <w:r>
        <w:rPr>
          <w:rFonts w:hint="eastAsia" w:ascii="仿宋_GB2312" w:eastAsia="仿宋_GB2312"/>
          <w:sz w:val="32"/>
          <w:szCs w:val="32"/>
          <w:highlight w:val="none"/>
        </w:rPr>
        <w:t>用于支持其附条件上市申请</w:t>
      </w:r>
      <w:r>
        <w:rPr>
          <w:rFonts w:hint="eastAsia" w:ascii="仿宋_GB2312" w:eastAsia="仿宋_GB2312"/>
          <w:sz w:val="32"/>
          <w:szCs w:val="32"/>
          <w:highlight w:val="none"/>
          <w:lang w:val="en-US" w:eastAsia="zh-CN"/>
        </w:rPr>
        <w:t>的</w:t>
      </w:r>
      <w:r>
        <w:rPr>
          <w:rFonts w:hint="eastAsia" w:ascii="仿宋_GB2312" w:eastAsia="仿宋_GB2312"/>
          <w:sz w:val="32"/>
          <w:szCs w:val="32"/>
          <w:highlight w:val="none"/>
        </w:rPr>
        <w:t>关键性</w:t>
      </w:r>
      <w:r>
        <w:rPr>
          <w:rFonts w:ascii="仿宋_GB2312" w:eastAsia="仿宋_GB2312"/>
          <w:sz w:val="32"/>
          <w:szCs w:val="32"/>
          <w:highlight w:val="none"/>
        </w:rPr>
        <w:t>临床</w:t>
      </w:r>
      <w:r>
        <w:rPr>
          <w:rFonts w:hint="eastAsia" w:ascii="仿宋_GB2312" w:eastAsia="仿宋_GB2312"/>
          <w:sz w:val="32"/>
          <w:szCs w:val="32"/>
          <w:highlight w:val="none"/>
        </w:rPr>
        <w:t>试验沟通一致的</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可以继续按原方案开展</w:t>
      </w:r>
      <w:r>
        <w:rPr>
          <w:rFonts w:hint="eastAsia" w:ascii="仿宋_GB2312" w:eastAsia="仿宋_GB2312"/>
          <w:sz w:val="32"/>
          <w:szCs w:val="32"/>
          <w:highlight w:val="none"/>
          <w:lang w:val="en-US" w:eastAsia="zh-CN"/>
        </w:rPr>
        <w:t>研究</w:t>
      </w:r>
      <w:r>
        <w:rPr>
          <w:rFonts w:hint="eastAsia" w:ascii="仿宋_GB2312" w:eastAsia="仿宋_GB2312"/>
          <w:sz w:val="32"/>
          <w:szCs w:val="32"/>
          <w:highlight w:val="none"/>
          <w:lang w:eastAsia="zh-CN"/>
        </w:rPr>
        <w:t>，但申请人应当及时关注研发风险，已有药品</w:t>
      </w:r>
      <w:r>
        <w:rPr>
          <w:rFonts w:hint="eastAsia" w:ascii="仿宋_GB2312" w:eastAsia="仿宋_GB2312"/>
          <w:sz w:val="32"/>
          <w:szCs w:val="32"/>
          <w:highlight w:val="none"/>
          <w:lang w:val="en-US" w:eastAsia="zh-CN"/>
        </w:rPr>
        <w:t>转为常规批准后</w:t>
      </w:r>
      <w:r>
        <w:rPr>
          <w:rFonts w:ascii="仿宋_GB2312" w:eastAsia="仿宋_GB2312"/>
          <w:sz w:val="32"/>
          <w:szCs w:val="32"/>
          <w:highlight w:val="none"/>
        </w:rPr>
        <w:t>，</w:t>
      </w:r>
      <w:r>
        <w:rPr>
          <w:rFonts w:hint="eastAsia" w:ascii="仿宋_GB2312" w:eastAsia="仿宋_GB2312"/>
          <w:sz w:val="32"/>
          <w:szCs w:val="32"/>
          <w:highlight w:val="none"/>
        </w:rPr>
        <w:t>其它</w:t>
      </w:r>
      <w:r>
        <w:rPr>
          <w:rFonts w:hint="eastAsia" w:ascii="仿宋_GB2312" w:eastAsia="仿宋_GB2312"/>
          <w:sz w:val="32"/>
          <w:szCs w:val="32"/>
          <w:highlight w:val="none"/>
          <w:lang w:val="en-US" w:eastAsia="zh-CN"/>
        </w:rPr>
        <w:t>在研或在审</w:t>
      </w:r>
      <w:r>
        <w:rPr>
          <w:rFonts w:hint="eastAsia" w:ascii="仿宋_GB2312" w:eastAsia="仿宋_GB2312"/>
          <w:sz w:val="32"/>
          <w:szCs w:val="32"/>
          <w:highlight w:val="none"/>
        </w:rPr>
        <w:t>的同类药品不再符合附条件批准的要求。</w:t>
      </w:r>
    </w:p>
    <w:p w14:paraId="3A3797D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highlight w:val="none"/>
        </w:rPr>
        <w:t>重大突发公共卫生事件急需的预防用疫苗或具备个性化治疗特征的细胞和基因治疗产品需具体问题具体分析。</w:t>
      </w:r>
    </w:p>
    <w:p w14:paraId="01FF2647">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szCs w:val="32"/>
          <w:highlight w:val="none"/>
        </w:rPr>
      </w:pPr>
      <w:r>
        <w:rPr>
          <w:rFonts w:hint="eastAsia" w:eastAsia="黑体"/>
          <w:sz w:val="32"/>
          <w:szCs w:val="32"/>
          <w:highlight w:val="none"/>
          <w:lang w:eastAsia="zh-CN"/>
        </w:rPr>
        <w:t>四</w:t>
      </w:r>
      <w:r>
        <w:rPr>
          <w:rFonts w:hint="eastAsia" w:eastAsia="黑体"/>
          <w:sz w:val="32"/>
          <w:szCs w:val="32"/>
          <w:highlight w:val="none"/>
        </w:rPr>
        <w:t>、药品附条件批准上市后，无法</w:t>
      </w:r>
      <w:r>
        <w:rPr>
          <w:rFonts w:eastAsia="黑体"/>
          <w:sz w:val="32"/>
          <w:szCs w:val="32"/>
          <w:highlight w:val="none"/>
        </w:rPr>
        <w:t>按期完成所附条件研究</w:t>
      </w:r>
      <w:r>
        <w:rPr>
          <w:rFonts w:hint="eastAsia" w:eastAsia="黑体"/>
          <w:sz w:val="32"/>
          <w:szCs w:val="32"/>
          <w:highlight w:val="none"/>
        </w:rPr>
        <w:t>的</w:t>
      </w:r>
      <w:r>
        <w:rPr>
          <w:rFonts w:eastAsia="黑体"/>
          <w:sz w:val="32"/>
          <w:szCs w:val="32"/>
          <w:highlight w:val="none"/>
        </w:rPr>
        <w:t>，什么情况下可以</w:t>
      </w:r>
      <w:r>
        <w:rPr>
          <w:rFonts w:hint="eastAsia" w:eastAsia="黑体"/>
          <w:sz w:val="32"/>
          <w:szCs w:val="32"/>
          <w:highlight w:val="none"/>
        </w:rPr>
        <w:t>申请继续开展研究</w:t>
      </w:r>
      <w:r>
        <w:rPr>
          <w:rFonts w:eastAsia="黑体"/>
          <w:sz w:val="32"/>
          <w:szCs w:val="32"/>
          <w:highlight w:val="none"/>
        </w:rPr>
        <w:t>？</w:t>
      </w:r>
    </w:p>
    <w:p w14:paraId="399AE27A">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hint="eastAsia" w:eastAsia="仿宋_GB2312"/>
          <w:sz w:val="32"/>
          <w:szCs w:val="32"/>
          <w:highlight w:val="none"/>
        </w:rPr>
        <w:t>药品附条件批准上市后，无法按期完成全部所附条件</w:t>
      </w:r>
      <w:r>
        <w:rPr>
          <w:rFonts w:hint="eastAsia" w:eastAsia="仿宋_GB2312"/>
          <w:sz w:val="32"/>
          <w:szCs w:val="32"/>
          <w:highlight w:val="none"/>
          <w:lang w:eastAsia="zh-CN"/>
        </w:rPr>
        <w:t>研究</w:t>
      </w:r>
      <w:r>
        <w:rPr>
          <w:rFonts w:hint="eastAsia" w:eastAsia="仿宋_GB2312"/>
          <w:sz w:val="32"/>
          <w:szCs w:val="32"/>
          <w:highlight w:val="none"/>
        </w:rPr>
        <w:t>的，持有人评估同时符合以下要求的，可在</w:t>
      </w:r>
      <w:r>
        <w:rPr>
          <w:rFonts w:ascii="Times New Roman" w:hAnsi="Times New Roman" w:eastAsia="仿宋_GB2312"/>
          <w:sz w:val="32"/>
          <w:szCs w:val="32"/>
          <w:highlight w:val="none"/>
        </w:rPr>
        <w:t>研究时限届满</w:t>
      </w:r>
      <w:r>
        <w:rPr>
          <w:rFonts w:hint="eastAsia" w:eastAsia="仿宋_GB2312"/>
          <w:sz w:val="32"/>
          <w:szCs w:val="32"/>
          <w:highlight w:val="none"/>
        </w:rPr>
        <w:t>前</w:t>
      </w:r>
      <w:r>
        <w:rPr>
          <w:rFonts w:hint="eastAsia" w:ascii="Times New Roman" w:hAnsi="Times New Roman" w:eastAsia="仿宋_GB2312"/>
          <w:sz w:val="32"/>
          <w:szCs w:val="32"/>
          <w:highlight w:val="none"/>
          <w:lang w:eastAsia="zh-CN"/>
        </w:rPr>
        <w:t>提出补充申请</w:t>
      </w:r>
      <w:r>
        <w:rPr>
          <w:rFonts w:hint="eastAsia" w:eastAsia="仿宋_GB2312"/>
          <w:sz w:val="32"/>
          <w:szCs w:val="32"/>
          <w:highlight w:val="none"/>
        </w:rPr>
        <w:t>，申请继续开展研究：</w:t>
      </w:r>
    </w:p>
    <w:p w14:paraId="30EF5C92">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eastAsia="仿宋_GB2312"/>
          <w:sz w:val="32"/>
          <w:szCs w:val="32"/>
          <w:highlight w:val="none"/>
        </w:rPr>
      </w:pPr>
      <w:r>
        <w:rPr>
          <w:rFonts w:hint="eastAsia" w:eastAsia="仿宋_GB2312"/>
          <w:sz w:val="32"/>
          <w:szCs w:val="32"/>
          <w:highlight w:val="none"/>
        </w:rPr>
        <w:t>（</w:t>
      </w:r>
      <w:r>
        <w:rPr>
          <w:rFonts w:hint="eastAsia" w:eastAsia="仿宋_GB2312"/>
          <w:sz w:val="32"/>
          <w:szCs w:val="32"/>
          <w:highlight w:val="none"/>
          <w:lang w:val="en-US" w:eastAsia="zh-CN"/>
        </w:rPr>
        <w:t>一</w:t>
      </w:r>
      <w:r>
        <w:rPr>
          <w:rFonts w:hint="eastAsia" w:eastAsia="仿宋_GB2312"/>
          <w:sz w:val="32"/>
          <w:szCs w:val="32"/>
          <w:highlight w:val="none"/>
        </w:rPr>
        <w:t>）药品上市许可持有人综合</w:t>
      </w:r>
      <w:r>
        <w:rPr>
          <w:rFonts w:eastAsia="仿宋_GB2312"/>
          <w:sz w:val="32"/>
          <w:szCs w:val="32"/>
          <w:highlight w:val="none"/>
        </w:rPr>
        <w:t>评估</w:t>
      </w:r>
      <w:r>
        <w:rPr>
          <w:rFonts w:hint="eastAsia" w:eastAsia="仿宋_GB2312"/>
          <w:sz w:val="32"/>
          <w:szCs w:val="32"/>
          <w:highlight w:val="none"/>
        </w:rPr>
        <w:t>已开展的研究工作，</w:t>
      </w:r>
      <w:r>
        <w:rPr>
          <w:rFonts w:eastAsia="仿宋_GB2312"/>
          <w:sz w:val="32"/>
          <w:szCs w:val="32"/>
          <w:highlight w:val="none"/>
        </w:rPr>
        <w:t>仍获益大于风险</w:t>
      </w:r>
      <w:r>
        <w:rPr>
          <w:rFonts w:hint="eastAsia" w:eastAsia="仿宋_GB2312"/>
          <w:sz w:val="32"/>
          <w:szCs w:val="32"/>
          <w:highlight w:val="none"/>
        </w:rPr>
        <w:t>；</w:t>
      </w:r>
    </w:p>
    <w:p w14:paraId="2DA5A804">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szCs w:val="32"/>
          <w:highlight w:val="none"/>
          <w:lang w:eastAsia="zh-CN"/>
        </w:rPr>
      </w:pPr>
      <w:r>
        <w:rPr>
          <w:rFonts w:hint="eastAsia" w:eastAsia="仿宋_GB2312"/>
          <w:sz w:val="32"/>
          <w:szCs w:val="32"/>
          <w:highlight w:val="none"/>
        </w:rPr>
        <w:t>（</w:t>
      </w:r>
      <w:r>
        <w:rPr>
          <w:rFonts w:hint="eastAsia" w:eastAsia="仿宋_GB2312"/>
          <w:sz w:val="32"/>
          <w:szCs w:val="32"/>
          <w:highlight w:val="none"/>
          <w:lang w:val="en-US" w:eastAsia="zh-CN"/>
        </w:rPr>
        <w:t>二</w:t>
      </w:r>
      <w:r>
        <w:rPr>
          <w:rFonts w:hint="eastAsia" w:eastAsia="仿宋_GB2312"/>
          <w:sz w:val="32"/>
          <w:szCs w:val="32"/>
          <w:highlight w:val="none"/>
        </w:rPr>
        <w:t>）所附条件的药物临床试验</w:t>
      </w:r>
      <w:r>
        <w:rPr>
          <w:rFonts w:eastAsia="仿宋_GB2312"/>
          <w:sz w:val="32"/>
          <w:szCs w:val="32"/>
          <w:highlight w:val="none"/>
        </w:rPr>
        <w:t>至少已完成</w:t>
      </w:r>
      <w:r>
        <w:rPr>
          <w:rFonts w:hint="eastAsia" w:eastAsia="仿宋_GB2312"/>
          <w:sz w:val="32"/>
          <w:szCs w:val="32"/>
          <w:highlight w:val="none"/>
        </w:rPr>
        <w:t>全部</w:t>
      </w:r>
      <w:r>
        <w:rPr>
          <w:rFonts w:eastAsia="仿宋_GB2312"/>
          <w:sz w:val="32"/>
          <w:szCs w:val="32"/>
          <w:highlight w:val="none"/>
        </w:rPr>
        <w:t>受试者入组</w:t>
      </w:r>
      <w:r>
        <w:rPr>
          <w:rFonts w:hint="eastAsia" w:eastAsia="仿宋_GB2312"/>
          <w:sz w:val="32"/>
          <w:szCs w:val="32"/>
          <w:highlight w:val="none"/>
          <w:lang w:eastAsia="zh-CN"/>
        </w:rPr>
        <w:t>。</w:t>
      </w:r>
    </w:p>
    <w:p w14:paraId="2315A2D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楷体"/>
          <w:b/>
          <w:sz w:val="32"/>
          <w:szCs w:val="32"/>
          <w:highlight w:val="none"/>
        </w:rPr>
      </w:pPr>
      <w:r>
        <w:rPr>
          <w:rFonts w:hint="eastAsia" w:eastAsia="黑体"/>
          <w:sz w:val="32"/>
          <w:szCs w:val="32"/>
          <w:highlight w:val="none"/>
          <w:lang w:eastAsia="zh-CN"/>
        </w:rPr>
        <w:t>五</w:t>
      </w:r>
      <w:r>
        <w:rPr>
          <w:rFonts w:hint="eastAsia" w:eastAsia="黑体"/>
          <w:sz w:val="32"/>
          <w:szCs w:val="32"/>
          <w:highlight w:val="none"/>
        </w:rPr>
        <w:t>、完成所附条件的研究后</w:t>
      </w:r>
      <w:r>
        <w:rPr>
          <w:rFonts w:eastAsia="黑体"/>
          <w:sz w:val="32"/>
          <w:szCs w:val="32"/>
          <w:highlight w:val="none"/>
        </w:rPr>
        <w:t>，如何申报</w:t>
      </w:r>
      <w:r>
        <w:rPr>
          <w:rFonts w:hint="eastAsia" w:eastAsia="黑体"/>
          <w:sz w:val="32"/>
          <w:szCs w:val="32"/>
          <w:highlight w:val="none"/>
        </w:rPr>
        <w:t>常规批准的</w:t>
      </w:r>
      <w:r>
        <w:rPr>
          <w:rFonts w:hint="eastAsia" w:eastAsia="黑体"/>
          <w:sz w:val="32"/>
          <w:szCs w:val="32"/>
          <w:highlight w:val="none"/>
          <w:lang w:eastAsia="zh-CN"/>
        </w:rPr>
        <w:t>注册</w:t>
      </w:r>
      <w:r>
        <w:rPr>
          <w:rFonts w:eastAsia="黑体"/>
          <w:sz w:val="32"/>
          <w:szCs w:val="32"/>
          <w:highlight w:val="none"/>
        </w:rPr>
        <w:t>申请？</w:t>
      </w:r>
    </w:p>
    <w:p w14:paraId="0654F71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持有人应当及时总结上市后研究情况，在研究时限届满前，按照已上市中药变更事项中第一类国家药品监督管理局审批的补充申请事项第8项，或已上市化药/生物制品变更事项中第一类国家药品监督管理局审批的补充申请事项第（五）项提交补充申请，</w:t>
      </w:r>
      <w:r>
        <w:rPr>
          <w:rFonts w:hint="eastAsia" w:ascii="Times New Roman" w:hAnsi="Times New Roman" w:eastAsia="仿宋_GB2312"/>
          <w:sz w:val="32"/>
          <w:szCs w:val="32"/>
          <w:highlight w:val="none"/>
        </w:rPr>
        <w:t>补充申请内容</w:t>
      </w:r>
      <w:r>
        <w:rPr>
          <w:rFonts w:ascii="Times New Roman" w:hAnsi="Times New Roman" w:eastAsia="仿宋_GB2312"/>
          <w:sz w:val="32"/>
          <w:szCs w:val="32"/>
          <w:highlight w:val="none"/>
        </w:rPr>
        <w:t>为“提交所附条件的研究资料”</w:t>
      </w:r>
      <w:r>
        <w:rPr>
          <w:rFonts w:hint="eastAsia" w:ascii="Times New Roman" w:hAnsi="Times New Roman" w:eastAsia="仿宋_GB2312"/>
          <w:sz w:val="32"/>
          <w:szCs w:val="32"/>
          <w:highlight w:val="none"/>
          <w:lang w:eastAsia="zh-CN"/>
        </w:rPr>
        <w:t>，或提交新增适应症的上市申请，并在“其他特别声明事项”中声明：同时申请附条件批准上市的</w:t>
      </w:r>
      <w:r>
        <w:rPr>
          <w:rFonts w:hint="eastAsia" w:ascii="Times New Roman" w:hAnsi="Times New Roman" w:eastAsia="仿宋_GB2312"/>
          <w:sz w:val="32"/>
          <w:szCs w:val="32"/>
          <w:highlight w:val="none"/>
          <w:lang w:val="en-US" w:eastAsia="zh-CN"/>
        </w:rPr>
        <w:t>***适应症转为常规批准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对于此前尚未有常规批准适应症的品种，还应同时</w:t>
      </w:r>
      <w:r>
        <w:rPr>
          <w:rFonts w:ascii="Times New Roman" w:hAnsi="Times New Roman" w:eastAsia="仿宋_GB2312"/>
          <w:sz w:val="32"/>
          <w:szCs w:val="32"/>
          <w:highlight w:val="none"/>
        </w:rPr>
        <w:t>按照再注册申请申报资料要求整理此前上市周期中的有关情况</w:t>
      </w:r>
      <w:r>
        <w:rPr>
          <w:rFonts w:hint="eastAsia" w:ascii="Times New Roman" w:hAnsi="Times New Roman" w:eastAsia="仿宋_GB2312"/>
          <w:sz w:val="32"/>
          <w:szCs w:val="32"/>
          <w:highlight w:val="none"/>
        </w:rPr>
        <w:t>，一并提交。</w:t>
      </w:r>
    </w:p>
    <w:p w14:paraId="1C0CCE9A">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（一）经审评认为，持有人已完成全部所附条件</w:t>
      </w:r>
      <w:r>
        <w:rPr>
          <w:rFonts w:hint="eastAsia" w:ascii="Times New Roman" w:hAnsi="Times New Roman" w:eastAsia="仿宋_GB2312"/>
          <w:sz w:val="32"/>
          <w:szCs w:val="32"/>
          <w:highlight w:val="none"/>
          <w:lang w:eastAsia="zh-CN"/>
        </w:rPr>
        <w:t>研究</w:t>
      </w:r>
      <w:r>
        <w:rPr>
          <w:rFonts w:ascii="Times New Roman" w:hAnsi="Times New Roman" w:eastAsia="仿宋_GB2312"/>
          <w:sz w:val="32"/>
          <w:szCs w:val="32"/>
          <w:highlight w:val="none"/>
        </w:rPr>
        <w:t>，且提交的全部数据可证明获益大于风险的，发给补充申请批准通知书</w:t>
      </w:r>
      <w:r>
        <w:rPr>
          <w:rFonts w:hint="eastAsia" w:ascii="Times New Roman" w:hAnsi="Times New Roman" w:eastAsia="仿宋_GB2312"/>
          <w:sz w:val="32"/>
          <w:szCs w:val="32"/>
          <w:highlight w:val="none"/>
          <w:lang w:val="en-US" w:eastAsia="zh-CN"/>
        </w:rPr>
        <w:t>/药品注册证书</w:t>
      </w:r>
      <w:r>
        <w:rPr>
          <w:rFonts w:hint="eastAsia" w:eastAsia="仿宋_GB2312"/>
          <w:sz w:val="32"/>
          <w:szCs w:val="32"/>
          <w:highlight w:val="none"/>
        </w:rPr>
        <w:t>及说明书</w:t>
      </w:r>
      <w:r>
        <w:rPr>
          <w:rFonts w:hint="eastAsia" w:ascii="Times New Roman" w:hAnsi="Times New Roman" w:eastAsia="仿宋_GB2312"/>
          <w:sz w:val="32"/>
          <w:szCs w:val="32"/>
          <w:highlight w:val="none"/>
        </w:rPr>
        <w:t>，按照本政策解读第一条原则调整药品注册证书有效期。</w:t>
      </w:r>
    </w:p>
    <w:p w14:paraId="791C62F9">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（二）经审评认为，综合原有研究和药品上市许可持有人新提交的研究资料不能证明其获益大于风险的，药审中心作出不予通过的审批结论，发给</w:t>
      </w:r>
      <w:r>
        <w:rPr>
          <w:rFonts w:hint="eastAsia" w:ascii="Times New Roman" w:hAnsi="Times New Roman" w:eastAsia="仿宋_GB2312"/>
          <w:sz w:val="32"/>
          <w:szCs w:val="32"/>
          <w:highlight w:val="none"/>
          <w:lang w:eastAsia="zh-CN"/>
        </w:rPr>
        <w:t>相关注册</w:t>
      </w:r>
      <w:r>
        <w:rPr>
          <w:rFonts w:ascii="Times New Roman" w:hAnsi="Times New Roman" w:eastAsia="仿宋_GB2312"/>
          <w:sz w:val="32"/>
          <w:szCs w:val="32"/>
          <w:highlight w:val="none"/>
        </w:rPr>
        <w:t>申请不予批准通知书及修</w:t>
      </w:r>
      <w:r>
        <w:rPr>
          <w:rFonts w:hint="eastAsia" w:ascii="Times New Roman" w:hAnsi="Times New Roman" w:eastAsia="仿宋_GB2312"/>
          <w:sz w:val="32"/>
          <w:szCs w:val="32"/>
          <w:highlight w:val="none"/>
          <w:lang w:eastAsia="zh-CN"/>
        </w:rPr>
        <w:t>订</w:t>
      </w:r>
      <w:r>
        <w:rPr>
          <w:rFonts w:ascii="Times New Roman" w:hAnsi="Times New Roman" w:eastAsia="仿宋_GB2312"/>
          <w:sz w:val="32"/>
          <w:szCs w:val="32"/>
          <w:highlight w:val="none"/>
        </w:rPr>
        <w:t>后的说明书</w:t>
      </w:r>
      <w:r>
        <w:rPr>
          <w:rFonts w:hint="eastAsia" w:eastAsia="仿宋_GB2312"/>
          <w:sz w:val="32"/>
          <w:szCs w:val="32"/>
          <w:highlight w:val="none"/>
        </w:rPr>
        <w:t>（如有）</w:t>
      </w:r>
      <w:r>
        <w:rPr>
          <w:rFonts w:ascii="Times New Roman" w:hAnsi="Times New Roman" w:eastAsia="仿宋_GB2312"/>
          <w:sz w:val="32"/>
          <w:szCs w:val="32"/>
          <w:highlight w:val="none"/>
        </w:rPr>
        <w:t>，并报国家药品监督管理局按程序注销其药品注册证书。</w:t>
      </w:r>
    </w:p>
    <w:p w14:paraId="4B639786">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楷体"/>
          <w:b/>
          <w:sz w:val="32"/>
          <w:szCs w:val="32"/>
          <w:highlight w:val="none"/>
        </w:rPr>
      </w:pPr>
      <w:r>
        <w:rPr>
          <w:rFonts w:hint="eastAsia" w:eastAsia="黑体"/>
          <w:sz w:val="32"/>
          <w:szCs w:val="32"/>
          <w:highlight w:val="none"/>
          <w:lang w:eastAsia="zh-CN"/>
        </w:rPr>
        <w:t>六</w:t>
      </w:r>
      <w:r>
        <w:rPr>
          <w:rFonts w:hint="eastAsia" w:eastAsia="黑体"/>
          <w:sz w:val="32"/>
          <w:szCs w:val="32"/>
          <w:highlight w:val="none"/>
        </w:rPr>
        <w:t>、</w:t>
      </w:r>
      <w:r>
        <w:rPr>
          <w:rFonts w:hint="eastAsia" w:ascii="Times New Roman" w:hAnsi="Times New Roman" w:eastAsia="黑体"/>
          <w:sz w:val="32"/>
          <w:szCs w:val="32"/>
          <w:highlight w:val="none"/>
        </w:rPr>
        <w:t>注销药品注册证书的具体程序是什么？</w:t>
      </w:r>
    </w:p>
    <w:p w14:paraId="39F4045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对</w:t>
      </w:r>
      <w:r>
        <w:rPr>
          <w:rFonts w:hint="eastAsia" w:ascii="Times New Roman" w:hAnsi="Times New Roman" w:eastAsia="仿宋_GB2312"/>
          <w:sz w:val="32"/>
          <w:szCs w:val="32"/>
          <w:highlight w:val="none"/>
        </w:rPr>
        <w:t>转为常规批准的</w:t>
      </w:r>
      <w:r>
        <w:rPr>
          <w:rFonts w:hint="eastAsia" w:ascii="Times New Roman" w:hAnsi="Times New Roman" w:eastAsia="仿宋_GB2312"/>
          <w:sz w:val="32"/>
          <w:szCs w:val="32"/>
          <w:highlight w:val="none"/>
          <w:lang w:eastAsia="zh-CN"/>
        </w:rPr>
        <w:t>注册</w:t>
      </w:r>
      <w:r>
        <w:rPr>
          <w:rFonts w:hint="eastAsia" w:ascii="Times New Roman" w:hAnsi="Times New Roman" w:eastAsia="仿宋_GB2312"/>
          <w:sz w:val="32"/>
          <w:szCs w:val="32"/>
          <w:highlight w:val="none"/>
        </w:rPr>
        <w:t>申请不予批准的</w:t>
      </w:r>
      <w:r>
        <w:rPr>
          <w:rFonts w:ascii="Times New Roman" w:hAnsi="Times New Roman" w:eastAsia="仿宋_GB2312"/>
          <w:sz w:val="32"/>
          <w:szCs w:val="32"/>
          <w:highlight w:val="none"/>
        </w:rPr>
        <w:t>，由药审中心发出</w:t>
      </w:r>
      <w:r>
        <w:rPr>
          <w:rFonts w:hint="eastAsia" w:ascii="Times New Roman" w:hAnsi="Times New Roman" w:eastAsia="仿宋_GB2312"/>
          <w:sz w:val="32"/>
          <w:szCs w:val="32"/>
          <w:highlight w:val="none"/>
          <w:lang w:eastAsia="zh-CN"/>
        </w:rPr>
        <w:t>相关注册</w:t>
      </w:r>
      <w:r>
        <w:rPr>
          <w:rFonts w:ascii="Times New Roman" w:hAnsi="Times New Roman" w:eastAsia="仿宋_GB2312"/>
          <w:sz w:val="32"/>
          <w:szCs w:val="32"/>
          <w:highlight w:val="none"/>
        </w:rPr>
        <w:t>申请不予批准通知书</w:t>
      </w:r>
      <w:r>
        <w:rPr>
          <w:rFonts w:hint="eastAsia" w:eastAsia="仿宋_GB2312"/>
          <w:sz w:val="32"/>
          <w:szCs w:val="32"/>
          <w:highlight w:val="none"/>
        </w:rPr>
        <w:t>及</w:t>
      </w:r>
      <w:r>
        <w:rPr>
          <w:rFonts w:hint="eastAsia" w:eastAsia="仿宋_GB2312"/>
          <w:sz w:val="32"/>
          <w:szCs w:val="32"/>
          <w:highlight w:val="none"/>
          <w:lang w:eastAsia="zh-CN"/>
        </w:rPr>
        <w:t>修订后的</w:t>
      </w:r>
      <w:r>
        <w:rPr>
          <w:rFonts w:ascii="Times New Roman" w:hAnsi="Times New Roman" w:eastAsia="仿宋_GB2312"/>
          <w:sz w:val="32"/>
          <w:szCs w:val="32"/>
          <w:highlight w:val="none"/>
        </w:rPr>
        <w:t>说明书</w:t>
      </w:r>
      <w:r>
        <w:rPr>
          <w:rFonts w:hint="eastAsia" w:ascii="Times New Roman" w:hAnsi="Times New Roman" w:eastAsia="仿宋_GB2312"/>
          <w:sz w:val="32"/>
          <w:szCs w:val="32"/>
          <w:highlight w:val="none"/>
        </w:rPr>
        <w:t>（如有）</w:t>
      </w:r>
      <w:r>
        <w:rPr>
          <w:rFonts w:ascii="Times New Roman" w:hAnsi="Times New Roman" w:eastAsia="仿宋_GB2312"/>
          <w:sz w:val="32"/>
          <w:szCs w:val="32"/>
          <w:highlight w:val="none"/>
        </w:rPr>
        <w:t>；需注销药品注册证书的，药审中心及时报国家药品监督管理局</w:t>
      </w:r>
      <w:r>
        <w:rPr>
          <w:rFonts w:hint="eastAsia" w:eastAsia="仿宋_GB2312"/>
          <w:sz w:val="32"/>
          <w:szCs w:val="32"/>
          <w:highlight w:val="none"/>
        </w:rPr>
        <w:t>按程序</w:t>
      </w:r>
      <w:r>
        <w:rPr>
          <w:rFonts w:ascii="Times New Roman" w:hAnsi="Times New Roman" w:eastAsia="仿宋_GB2312"/>
          <w:sz w:val="32"/>
          <w:szCs w:val="32"/>
          <w:highlight w:val="none"/>
        </w:rPr>
        <w:t>注销。</w:t>
      </w:r>
      <w:r>
        <w:rPr>
          <w:rFonts w:hint="eastAsia" w:ascii="Times New Roman" w:hAnsi="Times New Roman" w:eastAsia="仿宋_GB2312"/>
          <w:sz w:val="32"/>
          <w:szCs w:val="32"/>
          <w:highlight w:val="none"/>
        </w:rPr>
        <w:t>对于未</w:t>
      </w:r>
      <w:r>
        <w:rPr>
          <w:rFonts w:hint="eastAsia" w:ascii="Times New Roman" w:hAnsi="Times New Roman" w:eastAsia="仿宋_GB2312"/>
          <w:sz w:val="32"/>
          <w:szCs w:val="32"/>
          <w:highlight w:val="none"/>
          <w:lang w:eastAsia="zh-CN"/>
        </w:rPr>
        <w:t>按期</w:t>
      </w:r>
      <w:r>
        <w:rPr>
          <w:rFonts w:hint="eastAsia" w:ascii="Times New Roman" w:hAnsi="Times New Roman" w:eastAsia="仿宋_GB2312"/>
          <w:sz w:val="32"/>
          <w:szCs w:val="32"/>
          <w:highlight w:val="none"/>
        </w:rPr>
        <w:t>申报</w:t>
      </w:r>
      <w:r>
        <w:rPr>
          <w:rFonts w:hint="eastAsia" w:ascii="Times New Roman" w:hAnsi="Times New Roman" w:eastAsia="仿宋_GB2312"/>
          <w:sz w:val="32"/>
          <w:szCs w:val="32"/>
          <w:highlight w:val="none"/>
          <w:lang w:eastAsia="zh-CN"/>
        </w:rPr>
        <w:t>转为常规批准的注册</w:t>
      </w:r>
      <w:r>
        <w:rPr>
          <w:rFonts w:hint="eastAsia" w:ascii="Times New Roman" w:hAnsi="Times New Roman" w:eastAsia="仿宋_GB2312"/>
          <w:sz w:val="32"/>
          <w:szCs w:val="32"/>
          <w:highlight w:val="none"/>
        </w:rPr>
        <w:t>申请</w:t>
      </w:r>
      <w:r>
        <w:rPr>
          <w:rFonts w:hint="eastAsia" w:ascii="Times New Roman" w:hAnsi="Times New Roman" w:eastAsia="仿宋_GB2312"/>
          <w:sz w:val="32"/>
          <w:szCs w:val="32"/>
          <w:highlight w:val="none"/>
          <w:lang w:eastAsia="zh-CN"/>
        </w:rPr>
        <w:t>的</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由药审中心报请国家药品监督管理局注销相关药品注册证书。</w:t>
      </w:r>
    </w:p>
    <w:p w14:paraId="1CF3D5B0">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eastAsia="仿宋_GB2312"/>
          <w:sz w:val="32"/>
          <w:szCs w:val="32"/>
          <w:highlight w:val="none"/>
        </w:rPr>
        <w:t>持有</w:t>
      </w:r>
      <w:r>
        <w:rPr>
          <w:rFonts w:ascii="Times New Roman" w:hAnsi="Times New Roman" w:eastAsia="仿宋_GB2312"/>
          <w:sz w:val="32"/>
          <w:szCs w:val="32"/>
          <w:highlight w:val="none"/>
        </w:rPr>
        <w:t>人亦可根据研究情况，主动向国家药品监督管理局</w:t>
      </w:r>
      <w:r>
        <w:rPr>
          <w:rFonts w:hint="eastAsia" w:eastAsia="仿宋_GB2312"/>
          <w:sz w:val="32"/>
          <w:szCs w:val="32"/>
          <w:highlight w:val="none"/>
        </w:rPr>
        <w:t>提出</w:t>
      </w:r>
      <w:r>
        <w:rPr>
          <w:rFonts w:ascii="Times New Roman" w:hAnsi="Times New Roman" w:eastAsia="仿宋_GB2312"/>
          <w:sz w:val="32"/>
          <w:szCs w:val="32"/>
          <w:highlight w:val="none"/>
        </w:rPr>
        <w:t>注销药品注册证书。</w:t>
      </w:r>
    </w:p>
    <w:p w14:paraId="3F50431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黑体"/>
          <w:sz w:val="32"/>
          <w:szCs w:val="32"/>
          <w:highlight w:val="none"/>
        </w:rPr>
      </w:pPr>
      <w:r>
        <w:rPr>
          <w:rFonts w:hint="eastAsia" w:eastAsia="黑体"/>
          <w:sz w:val="32"/>
          <w:szCs w:val="32"/>
          <w:highlight w:val="none"/>
          <w:lang w:eastAsia="zh-CN"/>
        </w:rPr>
        <w:t>七</w:t>
      </w:r>
      <w:r>
        <w:rPr>
          <w:rFonts w:ascii="Times New Roman" w:hAnsi="Times New Roman" w:eastAsia="黑体"/>
          <w:sz w:val="32"/>
          <w:szCs w:val="32"/>
          <w:highlight w:val="none"/>
        </w:rPr>
        <w:t>、</w:t>
      </w:r>
      <w:r>
        <w:rPr>
          <w:rFonts w:hint="eastAsia" w:ascii="Times New Roman" w:hAnsi="Times New Roman" w:eastAsia="黑体"/>
          <w:sz w:val="32"/>
          <w:szCs w:val="32"/>
          <w:highlight w:val="none"/>
        </w:rPr>
        <w:t>附条件</w:t>
      </w:r>
      <w:r>
        <w:rPr>
          <w:rFonts w:ascii="Times New Roman" w:hAnsi="Times New Roman" w:eastAsia="黑体"/>
          <w:sz w:val="32"/>
          <w:szCs w:val="32"/>
          <w:highlight w:val="none"/>
        </w:rPr>
        <w:t>批准</w:t>
      </w:r>
      <w:r>
        <w:rPr>
          <w:rFonts w:hint="eastAsia" w:eastAsia="黑体"/>
          <w:sz w:val="32"/>
          <w:szCs w:val="32"/>
          <w:highlight w:val="none"/>
        </w:rPr>
        <w:t>上市</w:t>
      </w:r>
      <w:r>
        <w:rPr>
          <w:rFonts w:ascii="Times New Roman" w:hAnsi="Times New Roman" w:eastAsia="黑体"/>
          <w:sz w:val="32"/>
          <w:szCs w:val="32"/>
          <w:highlight w:val="none"/>
        </w:rPr>
        <w:t>的药品，是否可发布为参比制剂？</w:t>
      </w:r>
      <w:r>
        <w:rPr>
          <w:rFonts w:hint="eastAsia" w:ascii="Times New Roman" w:hAnsi="Times New Roman" w:eastAsia="黑体"/>
          <w:sz w:val="32"/>
          <w:szCs w:val="32"/>
          <w:highlight w:val="none"/>
        </w:rPr>
        <w:t>仿制药企业</w:t>
      </w:r>
      <w:r>
        <w:rPr>
          <w:rFonts w:ascii="Times New Roman" w:hAnsi="Times New Roman" w:eastAsia="黑体"/>
          <w:sz w:val="32"/>
          <w:szCs w:val="32"/>
          <w:highlight w:val="none"/>
        </w:rPr>
        <w:t>是否可</w:t>
      </w:r>
      <w:r>
        <w:rPr>
          <w:rFonts w:hint="eastAsia" w:ascii="Times New Roman" w:hAnsi="Times New Roman" w:eastAsia="黑体"/>
          <w:sz w:val="32"/>
          <w:szCs w:val="32"/>
          <w:highlight w:val="none"/>
        </w:rPr>
        <w:t>申报仿制</w:t>
      </w:r>
      <w:r>
        <w:rPr>
          <w:rFonts w:ascii="Times New Roman" w:hAnsi="Times New Roman" w:eastAsia="黑体"/>
          <w:sz w:val="32"/>
          <w:szCs w:val="32"/>
          <w:highlight w:val="none"/>
        </w:rPr>
        <w:t>？</w:t>
      </w:r>
    </w:p>
    <w:p w14:paraId="3BB8C35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（一）关于参比制剂发布：</w:t>
      </w:r>
    </w:p>
    <w:p w14:paraId="24BFA21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附条件批准上市的药品，在其转为常规批准之前，该品种不发布为参比制剂。常规批准上市</w:t>
      </w:r>
      <w:r>
        <w:rPr>
          <w:rFonts w:hint="eastAsia" w:eastAsia="仿宋_GB2312"/>
          <w:sz w:val="32"/>
          <w:szCs w:val="32"/>
          <w:highlight w:val="none"/>
        </w:rPr>
        <w:t>，同时</w:t>
      </w:r>
      <w:r>
        <w:rPr>
          <w:rFonts w:ascii="Times New Roman" w:hAnsi="Times New Roman" w:eastAsia="仿宋_GB2312"/>
          <w:sz w:val="32"/>
          <w:szCs w:val="32"/>
          <w:highlight w:val="none"/>
        </w:rPr>
        <w:t>包含附条件批准适应症的品种，</w:t>
      </w:r>
      <w:r>
        <w:rPr>
          <w:rFonts w:hint="eastAsia" w:eastAsia="仿宋_GB2312"/>
          <w:sz w:val="32"/>
          <w:szCs w:val="32"/>
          <w:highlight w:val="none"/>
        </w:rPr>
        <w:t>符合参比制剂</w:t>
      </w:r>
      <w:r>
        <w:rPr>
          <w:rFonts w:ascii="Times New Roman" w:hAnsi="Times New Roman" w:eastAsia="仿宋_GB2312"/>
          <w:sz w:val="32"/>
          <w:szCs w:val="32"/>
          <w:highlight w:val="none"/>
        </w:rPr>
        <w:t>遴选</w:t>
      </w:r>
      <w:r>
        <w:rPr>
          <w:rFonts w:hint="eastAsia" w:eastAsia="仿宋_GB2312"/>
          <w:sz w:val="32"/>
          <w:szCs w:val="32"/>
          <w:highlight w:val="none"/>
        </w:rPr>
        <w:t>要求的，</w:t>
      </w:r>
      <w:r>
        <w:rPr>
          <w:rFonts w:ascii="Times New Roman" w:hAnsi="Times New Roman" w:eastAsia="仿宋_GB2312"/>
          <w:sz w:val="32"/>
          <w:szCs w:val="32"/>
          <w:highlight w:val="none"/>
        </w:rPr>
        <w:t>可</w:t>
      </w:r>
      <w:r>
        <w:rPr>
          <w:rFonts w:hint="eastAsia" w:eastAsia="仿宋_GB2312"/>
          <w:sz w:val="32"/>
          <w:szCs w:val="32"/>
          <w:highlight w:val="none"/>
        </w:rPr>
        <w:t>经遴选发布</w:t>
      </w:r>
      <w:r>
        <w:rPr>
          <w:rFonts w:ascii="Times New Roman" w:hAnsi="Times New Roman" w:eastAsia="仿宋_GB2312"/>
          <w:sz w:val="32"/>
          <w:szCs w:val="32"/>
          <w:highlight w:val="none"/>
        </w:rPr>
        <w:t>为参比制剂</w:t>
      </w:r>
      <w:r>
        <w:rPr>
          <w:rFonts w:hint="eastAsia" w:eastAsia="仿宋_GB2312"/>
          <w:sz w:val="32"/>
          <w:szCs w:val="32"/>
          <w:highlight w:val="none"/>
        </w:rPr>
        <w:t>，发布时</w:t>
      </w:r>
      <w:r>
        <w:rPr>
          <w:rFonts w:hint="eastAsia" w:ascii="Times New Roman" w:hAnsi="Times New Roman" w:eastAsia="仿宋_GB2312"/>
          <w:sz w:val="32"/>
          <w:szCs w:val="32"/>
          <w:highlight w:val="none"/>
        </w:rPr>
        <w:t>对相关</w:t>
      </w:r>
      <w:r>
        <w:rPr>
          <w:rFonts w:hint="eastAsia" w:eastAsia="仿宋_GB2312"/>
          <w:sz w:val="32"/>
          <w:szCs w:val="32"/>
          <w:highlight w:val="none"/>
        </w:rPr>
        <w:t>适应症</w:t>
      </w:r>
      <w:r>
        <w:rPr>
          <w:rFonts w:hint="eastAsia" w:ascii="Times New Roman" w:hAnsi="Times New Roman" w:eastAsia="仿宋_GB2312"/>
          <w:sz w:val="32"/>
          <w:szCs w:val="32"/>
          <w:highlight w:val="none"/>
        </w:rPr>
        <w:t>情况予以</w:t>
      </w:r>
      <w:r>
        <w:rPr>
          <w:rFonts w:hint="eastAsia" w:eastAsia="仿宋_GB2312"/>
          <w:sz w:val="32"/>
          <w:szCs w:val="32"/>
          <w:highlight w:val="none"/>
        </w:rPr>
        <w:t>说明</w:t>
      </w:r>
      <w:r>
        <w:rPr>
          <w:rFonts w:ascii="Times New Roman" w:hAnsi="Times New Roman" w:eastAsia="仿宋_GB2312"/>
          <w:sz w:val="32"/>
          <w:szCs w:val="32"/>
          <w:highlight w:val="none"/>
        </w:rPr>
        <w:t>。</w:t>
      </w:r>
    </w:p>
    <w:p w14:paraId="0EB1B76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（二）关于化学药品仿制要求：</w:t>
      </w:r>
    </w:p>
    <w:p w14:paraId="2FE1912F">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仿宋_GB2312" w:hAnsi="黑体" w:eastAsia="仿宋_GB2312"/>
          <w:sz w:val="32"/>
          <w:szCs w:val="32"/>
          <w:highlight w:val="none"/>
        </w:rPr>
      </w:pPr>
      <w:r>
        <w:rPr>
          <w:rFonts w:ascii="Times New Roman" w:hAnsi="Times New Roman" w:eastAsia="仿宋_GB2312"/>
          <w:sz w:val="32"/>
          <w:szCs w:val="32"/>
          <w:highlight w:val="none"/>
        </w:rPr>
        <w:t>附条件批准上市的</w:t>
      </w:r>
      <w:r>
        <w:rPr>
          <w:rFonts w:hint="eastAsia" w:ascii="Times New Roman" w:hAnsi="Times New Roman" w:eastAsia="仿宋_GB2312"/>
          <w:sz w:val="32"/>
          <w:szCs w:val="32"/>
          <w:highlight w:val="none"/>
        </w:rPr>
        <w:t>化学</w:t>
      </w:r>
      <w:r>
        <w:rPr>
          <w:rFonts w:ascii="Times New Roman" w:hAnsi="Times New Roman" w:eastAsia="仿宋_GB2312"/>
          <w:sz w:val="32"/>
          <w:szCs w:val="32"/>
          <w:highlight w:val="none"/>
        </w:rPr>
        <w:t>药品，在其转为常规批准</w:t>
      </w:r>
      <w:r>
        <w:rPr>
          <w:rFonts w:hint="eastAsia" w:ascii="Times New Roman" w:hAnsi="Times New Roman" w:eastAsia="仿宋_GB2312"/>
          <w:sz w:val="32"/>
          <w:szCs w:val="32"/>
          <w:highlight w:val="none"/>
        </w:rPr>
        <w:t>并发布为参比制剂</w:t>
      </w:r>
      <w:r>
        <w:rPr>
          <w:rFonts w:ascii="Times New Roman" w:hAnsi="Times New Roman" w:eastAsia="仿宋_GB2312"/>
          <w:sz w:val="32"/>
          <w:szCs w:val="32"/>
          <w:highlight w:val="none"/>
        </w:rPr>
        <w:t>之前</w:t>
      </w:r>
      <w:r>
        <w:rPr>
          <w:rFonts w:hint="eastAsia" w:ascii="Times New Roman" w:hAnsi="Times New Roman" w:eastAsia="仿宋_GB2312"/>
          <w:sz w:val="32"/>
          <w:szCs w:val="32"/>
          <w:highlight w:val="none"/>
        </w:rPr>
        <w:t>，可以开展相关</w:t>
      </w:r>
      <w:r>
        <w:rPr>
          <w:rFonts w:hint="eastAsia" w:ascii="Times New Roman" w:hAnsi="Times New Roman" w:eastAsia="仿宋_GB2312"/>
          <w:sz w:val="32"/>
          <w:szCs w:val="32"/>
          <w:highlight w:val="none"/>
          <w:lang w:eastAsia="zh-CN"/>
        </w:rPr>
        <w:t>仿制</w:t>
      </w:r>
      <w:r>
        <w:rPr>
          <w:rFonts w:hint="eastAsia" w:ascii="Times New Roman" w:hAnsi="Times New Roman" w:eastAsia="仿宋_GB2312"/>
          <w:sz w:val="32"/>
          <w:szCs w:val="32"/>
          <w:highlight w:val="none"/>
        </w:rPr>
        <w:t>研究工作</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但</w:t>
      </w:r>
      <w:r>
        <w:rPr>
          <w:rFonts w:ascii="Times New Roman" w:hAnsi="Times New Roman" w:eastAsia="仿宋_GB2312"/>
          <w:sz w:val="32"/>
          <w:szCs w:val="32"/>
          <w:highlight w:val="none"/>
        </w:rPr>
        <w:t>不受理</w:t>
      </w:r>
      <w:r>
        <w:rPr>
          <w:rFonts w:hint="eastAsia" w:ascii="Times New Roman" w:hAnsi="Times New Roman" w:eastAsia="仿宋_GB2312"/>
          <w:sz w:val="32"/>
          <w:szCs w:val="32"/>
          <w:highlight w:val="none"/>
        </w:rPr>
        <w:t>该品种</w:t>
      </w:r>
      <w:r>
        <w:rPr>
          <w:rFonts w:ascii="Times New Roman" w:hAnsi="Times New Roman" w:eastAsia="仿宋_GB2312"/>
          <w:sz w:val="32"/>
          <w:szCs w:val="32"/>
          <w:highlight w:val="none"/>
        </w:rPr>
        <w:t>仿制药</w:t>
      </w:r>
      <w:r>
        <w:rPr>
          <w:rFonts w:hint="eastAsia" w:ascii="Times New Roman" w:hAnsi="Times New Roman" w:eastAsia="仿宋_GB2312"/>
          <w:sz w:val="32"/>
          <w:szCs w:val="32"/>
          <w:highlight w:val="none"/>
        </w:rPr>
        <w:t>上市</w:t>
      </w:r>
      <w:r>
        <w:rPr>
          <w:rFonts w:ascii="Times New Roman" w:hAnsi="Times New Roman" w:eastAsia="仿宋_GB2312"/>
          <w:sz w:val="32"/>
          <w:szCs w:val="32"/>
          <w:highlight w:val="none"/>
        </w:rPr>
        <w:t>注册申请</w:t>
      </w:r>
      <w:r>
        <w:rPr>
          <w:rFonts w:hint="eastAsia" w:eastAsia="仿宋_GB2312"/>
          <w:sz w:val="32"/>
          <w:szCs w:val="32"/>
          <w:highlight w:val="none"/>
        </w:rPr>
        <w:t>。</w:t>
      </w:r>
      <w:r>
        <w:rPr>
          <w:rFonts w:ascii="仿宋_GB2312" w:hAnsi="黑体" w:eastAsia="仿宋_GB2312"/>
          <w:sz w:val="32"/>
          <w:szCs w:val="32"/>
          <w:highlight w:val="none"/>
        </w:rPr>
        <w:t>对于常规批准</w:t>
      </w:r>
      <w:r>
        <w:rPr>
          <w:rFonts w:hint="eastAsia" w:ascii="仿宋_GB2312" w:hAnsi="黑体" w:eastAsia="仿宋_GB2312"/>
          <w:sz w:val="32"/>
          <w:szCs w:val="32"/>
          <w:highlight w:val="none"/>
        </w:rPr>
        <w:t>上市的参比制剂包含附条件批准适应症的，</w:t>
      </w:r>
      <w:r>
        <w:rPr>
          <w:rFonts w:ascii="仿宋_GB2312" w:hAnsi="黑体" w:eastAsia="仿宋_GB2312"/>
          <w:sz w:val="32"/>
          <w:szCs w:val="32"/>
          <w:highlight w:val="none"/>
        </w:rPr>
        <w:t>如</w:t>
      </w:r>
      <w:r>
        <w:rPr>
          <w:rFonts w:hint="eastAsia" w:ascii="仿宋_GB2312" w:hAnsi="黑体" w:eastAsia="仿宋_GB2312"/>
          <w:sz w:val="32"/>
          <w:szCs w:val="32"/>
          <w:highlight w:val="none"/>
        </w:rPr>
        <w:t>仿制药</w:t>
      </w:r>
      <w:r>
        <w:rPr>
          <w:rFonts w:ascii="仿宋_GB2312" w:hAnsi="黑体" w:eastAsia="仿宋_GB2312"/>
          <w:sz w:val="32"/>
          <w:szCs w:val="32"/>
          <w:highlight w:val="none"/>
        </w:rPr>
        <w:t>申请人愿意放弃附条件批准</w:t>
      </w:r>
      <w:r>
        <w:rPr>
          <w:rFonts w:hint="eastAsia" w:ascii="仿宋_GB2312" w:hAnsi="黑体" w:eastAsia="仿宋_GB2312"/>
          <w:sz w:val="32"/>
          <w:szCs w:val="32"/>
          <w:highlight w:val="none"/>
        </w:rPr>
        <w:t>的</w:t>
      </w:r>
      <w:r>
        <w:rPr>
          <w:rFonts w:ascii="仿宋_GB2312" w:hAnsi="黑体" w:eastAsia="仿宋_GB2312"/>
          <w:sz w:val="32"/>
          <w:szCs w:val="32"/>
          <w:highlight w:val="none"/>
        </w:rPr>
        <w:t>适应症，可</w:t>
      </w:r>
      <w:r>
        <w:rPr>
          <w:rFonts w:hint="eastAsia" w:ascii="仿宋_GB2312" w:hAnsi="黑体" w:eastAsia="仿宋_GB2312"/>
          <w:sz w:val="32"/>
          <w:szCs w:val="32"/>
          <w:highlight w:val="none"/>
        </w:rPr>
        <w:t>申报仿制上市</w:t>
      </w:r>
      <w:r>
        <w:rPr>
          <w:rFonts w:ascii="仿宋_GB2312" w:hAnsi="黑体" w:eastAsia="仿宋_GB2312"/>
          <w:sz w:val="32"/>
          <w:szCs w:val="32"/>
          <w:highlight w:val="none"/>
        </w:rPr>
        <w:t>。</w:t>
      </w:r>
    </w:p>
    <w:p w14:paraId="448EB558">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hint="eastAsia" w:ascii="楷体_GB2312" w:hAnsi="楷体_GB2312" w:eastAsia="楷体_GB2312" w:cs="楷体_GB2312"/>
          <w:sz w:val="32"/>
          <w:szCs w:val="32"/>
          <w:highlight w:val="none"/>
        </w:rPr>
        <w:t>（三）关于生物类似药</w:t>
      </w:r>
    </w:p>
    <w:p w14:paraId="6A37B1EE">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eastAsia" w:eastAsia="仿宋_GB2312"/>
          <w:sz w:val="32"/>
          <w:szCs w:val="32"/>
          <w:highlight w:val="none"/>
        </w:rPr>
      </w:pPr>
      <w:r>
        <w:rPr>
          <w:rFonts w:ascii="Times New Roman" w:hAnsi="Times New Roman" w:eastAsia="仿宋_GB2312"/>
          <w:sz w:val="32"/>
          <w:szCs w:val="32"/>
          <w:highlight w:val="none"/>
        </w:rPr>
        <w:t>在我国附条件批准上市的</w:t>
      </w:r>
      <w:r>
        <w:rPr>
          <w:rFonts w:hint="eastAsia" w:eastAsia="仿宋_GB2312"/>
          <w:sz w:val="32"/>
          <w:szCs w:val="32"/>
          <w:highlight w:val="none"/>
        </w:rPr>
        <w:t>生物制品</w:t>
      </w:r>
      <w:r>
        <w:rPr>
          <w:rFonts w:ascii="Times New Roman" w:hAnsi="Times New Roman" w:eastAsia="仿宋_GB2312"/>
          <w:sz w:val="32"/>
          <w:szCs w:val="32"/>
          <w:highlight w:val="none"/>
        </w:rPr>
        <w:t>在其转为常规批准之</w:t>
      </w:r>
      <w:r>
        <w:rPr>
          <w:rFonts w:hint="eastAsia" w:ascii="Times New Roman" w:hAnsi="Times New Roman" w:eastAsia="仿宋_GB2312"/>
          <w:sz w:val="32"/>
          <w:szCs w:val="32"/>
          <w:highlight w:val="none"/>
        </w:rPr>
        <w:t>后</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方可</w:t>
      </w:r>
      <w:r>
        <w:rPr>
          <w:rFonts w:hint="eastAsia" w:eastAsia="仿宋_GB2312"/>
          <w:sz w:val="32"/>
          <w:szCs w:val="32"/>
          <w:highlight w:val="none"/>
          <w:lang w:eastAsia="zh-CN"/>
        </w:rPr>
        <w:t>受理</w:t>
      </w:r>
      <w:r>
        <w:rPr>
          <w:rFonts w:hint="eastAsia" w:ascii="Times New Roman" w:hAnsi="Times New Roman" w:eastAsia="仿宋_GB2312"/>
          <w:sz w:val="32"/>
          <w:szCs w:val="32"/>
          <w:highlight w:val="none"/>
        </w:rPr>
        <w:t>该品种</w:t>
      </w:r>
      <w:r>
        <w:rPr>
          <w:rFonts w:hint="eastAsia" w:eastAsia="仿宋_GB2312"/>
          <w:sz w:val="32"/>
          <w:szCs w:val="32"/>
          <w:highlight w:val="none"/>
        </w:rPr>
        <w:t>生物类似药上市</w:t>
      </w:r>
      <w:r>
        <w:rPr>
          <w:rFonts w:hint="eastAsia" w:eastAsia="仿宋_GB2312"/>
          <w:sz w:val="32"/>
          <w:szCs w:val="32"/>
          <w:highlight w:val="none"/>
          <w:lang w:eastAsia="zh-CN"/>
        </w:rPr>
        <w:t>申请</w:t>
      </w:r>
      <w:r>
        <w:rPr>
          <w:rFonts w:hint="eastAsia" w:eastAsia="仿宋_GB2312"/>
          <w:sz w:val="32"/>
          <w:szCs w:val="32"/>
          <w:highlight w:val="none"/>
        </w:rPr>
        <w:t>。</w:t>
      </w:r>
    </w:p>
    <w:p w14:paraId="3B19A12A">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val="0"/>
          <w:bCs w:val="0"/>
          <w:color w:val="000000"/>
          <w:sz w:val="32"/>
          <w:szCs w:val="32"/>
          <w:lang w:val="en-US" w:eastAsia="zh-CN"/>
        </w:rPr>
        <w:t>如仿制药/生物类似药申请人能够自行开展确证性研究、不依赖原研药品的研究数据，可直接申报上市。</w:t>
      </w:r>
    </w:p>
    <w:p w14:paraId="17B2967D">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黑体"/>
          <w:sz w:val="32"/>
          <w:szCs w:val="32"/>
          <w:highlight w:val="none"/>
        </w:rPr>
      </w:pPr>
      <w:r>
        <w:rPr>
          <w:rFonts w:hint="eastAsia" w:eastAsia="黑体"/>
          <w:sz w:val="32"/>
          <w:szCs w:val="32"/>
          <w:highlight w:val="none"/>
          <w:lang w:eastAsia="zh-CN"/>
        </w:rPr>
        <w:t>八</w:t>
      </w:r>
      <w:r>
        <w:rPr>
          <w:rFonts w:hint="eastAsia" w:ascii="Times New Roman" w:hAnsi="Times New Roman" w:eastAsia="黑体"/>
          <w:sz w:val="32"/>
          <w:szCs w:val="32"/>
          <w:highlight w:val="none"/>
        </w:rPr>
        <w:t>、</w:t>
      </w:r>
      <w:r>
        <w:rPr>
          <w:rFonts w:hint="eastAsia" w:eastAsia="黑体"/>
          <w:sz w:val="32"/>
          <w:szCs w:val="32"/>
          <w:highlight w:val="none"/>
        </w:rPr>
        <w:t>药品</w:t>
      </w:r>
      <w:r>
        <w:rPr>
          <w:rFonts w:ascii="Times New Roman" w:hAnsi="Times New Roman" w:eastAsia="黑体"/>
          <w:sz w:val="32"/>
          <w:szCs w:val="32"/>
          <w:highlight w:val="none"/>
        </w:rPr>
        <w:t>附条件批准</w:t>
      </w:r>
      <w:r>
        <w:rPr>
          <w:rFonts w:hint="eastAsia" w:eastAsia="黑体"/>
          <w:sz w:val="32"/>
          <w:szCs w:val="32"/>
          <w:highlight w:val="none"/>
        </w:rPr>
        <w:t>上市后，</w:t>
      </w:r>
      <w:r>
        <w:rPr>
          <w:rFonts w:ascii="Times New Roman" w:hAnsi="Times New Roman" w:eastAsia="黑体"/>
          <w:sz w:val="32"/>
          <w:szCs w:val="32"/>
          <w:highlight w:val="none"/>
        </w:rPr>
        <w:t>后续如何与再注册衔接？</w:t>
      </w:r>
    </w:p>
    <w:p w14:paraId="184E94F2">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对于附条件批准上市的品种/适应症，转为常规批准之后再开展第一轮再注册工作。</w:t>
      </w:r>
    </w:p>
    <w:p w14:paraId="14C32B48">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highlight w:val="none"/>
        </w:rPr>
        <w:t>对于常规批准的品种包含附条件批准的适应症的，该品种可按期进行再注册，但再注册不涉及附条件批准的适应症。</w:t>
      </w:r>
    </w:p>
    <w:p w14:paraId="66F0AD68">
      <w:pPr>
        <w:keepNext w:val="0"/>
        <w:keepLines w:val="0"/>
        <w:pageBreakBefore w:val="0"/>
        <w:widowControl w:val="0"/>
        <w:kinsoku/>
        <w:wordWrap/>
        <w:overflowPunct w:val="0"/>
        <w:topLinePunct w:val="0"/>
        <w:autoSpaceDE/>
        <w:autoSpaceDN/>
        <w:bidi w:val="0"/>
        <w:spacing w:line="560" w:lineRule="exact"/>
        <w:ind w:firstLine="640" w:firstLineChars="200"/>
        <w:jc w:val="both"/>
        <w:textAlignment w:val="auto"/>
        <w:rPr>
          <w:rFonts w:hint="default" w:ascii="Times New Roman" w:hAnsi="Times New Roman" w:eastAsia="黑体"/>
          <w:sz w:val="32"/>
          <w:szCs w:val="32"/>
          <w:highlight w:val="none"/>
          <w:lang w:eastAsia="zh-CN"/>
        </w:rPr>
      </w:pPr>
      <w:r>
        <w:rPr>
          <w:rFonts w:hint="eastAsia" w:ascii="Times New Roman" w:hAnsi="Times New Roman" w:eastAsia="黑体"/>
          <w:sz w:val="32"/>
          <w:szCs w:val="32"/>
          <w:highlight w:val="none"/>
          <w:lang w:eastAsia="zh-CN"/>
        </w:rPr>
        <w:t>九、</w:t>
      </w:r>
      <w:r>
        <w:rPr>
          <w:rFonts w:hint="default" w:ascii="Times New Roman" w:hAnsi="Times New Roman" w:eastAsia="黑体"/>
          <w:sz w:val="32"/>
          <w:szCs w:val="32"/>
          <w:highlight w:val="none"/>
          <w:lang w:eastAsia="zh-CN"/>
        </w:rPr>
        <w:t>药品附条件批准上市后，</w:t>
      </w:r>
      <w:r>
        <w:rPr>
          <w:rFonts w:hint="eastAsia" w:ascii="Times New Roman" w:hAnsi="Times New Roman" w:eastAsia="黑体"/>
          <w:sz w:val="32"/>
          <w:szCs w:val="32"/>
          <w:highlight w:val="none"/>
          <w:lang w:eastAsia="zh-CN"/>
        </w:rPr>
        <w:t>转为常规批准前，</w:t>
      </w:r>
      <w:r>
        <w:rPr>
          <w:rFonts w:hint="default" w:ascii="Times New Roman" w:hAnsi="Times New Roman" w:eastAsia="黑体"/>
          <w:sz w:val="32"/>
          <w:szCs w:val="32"/>
          <w:highlight w:val="none"/>
          <w:lang w:eastAsia="zh-CN"/>
        </w:rPr>
        <w:t>持有人变更的</w:t>
      </w:r>
      <w:r>
        <w:rPr>
          <w:rFonts w:hint="eastAsia" w:ascii="Times New Roman" w:hAnsi="Times New Roman" w:eastAsia="黑体"/>
          <w:sz w:val="32"/>
          <w:szCs w:val="32"/>
          <w:highlight w:val="none"/>
          <w:lang w:eastAsia="zh-CN"/>
        </w:rPr>
        <w:t>申报资料</w:t>
      </w:r>
      <w:r>
        <w:rPr>
          <w:rFonts w:hint="default" w:ascii="Times New Roman" w:hAnsi="Times New Roman" w:eastAsia="黑体"/>
          <w:sz w:val="32"/>
          <w:szCs w:val="32"/>
          <w:highlight w:val="none"/>
          <w:lang w:eastAsia="zh-CN"/>
        </w:rPr>
        <w:t>要求是什么？</w:t>
      </w:r>
    </w:p>
    <w:p w14:paraId="6A2729DD">
      <w:pPr>
        <w:keepNext w:val="0"/>
        <w:keepLines w:val="0"/>
        <w:pageBreakBefore w:val="0"/>
        <w:widowControl w:val="0"/>
        <w:numPr>
          <w:ilvl w:val="0"/>
          <w:numId w:val="0"/>
        </w:numPr>
        <w:kinsoku/>
        <w:wordWrap/>
        <w:overflowPunct w:val="0"/>
        <w:topLinePunct w:val="0"/>
        <w:autoSpaceDE/>
        <w:autoSpaceDN/>
        <w:bidi w:val="0"/>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sz w:val="32"/>
          <w:szCs w:val="32"/>
          <w:highlight w:val="none"/>
          <w:lang w:val="en-US" w:eastAsia="zh-CN"/>
        </w:rPr>
        <w:t>申报持有人变更时，除按照《药品上市后变更管理办法（试行）》附件4提交申报资料外，还应提交如下资料：</w:t>
      </w:r>
      <w:r>
        <w:rPr>
          <w:rFonts w:hint="eastAsia" w:ascii="Times New Roman" w:hAnsi="Times New Roman" w:eastAsia="仿宋_GB2312" w:cs="Times New Roman"/>
          <w:sz w:val="32"/>
          <w:szCs w:val="32"/>
          <w:highlight w:val="none"/>
          <w:lang w:val="en-US" w:eastAsia="zh-CN"/>
        </w:rPr>
        <w:t>转出方和受让方的声明，转出方应尽告知义务，受让方应充分理解并知悉，内容包括但不限于，本品为附条件批准，应该开展的上市后研究、完成时限及实施情况，逾期未按照要求完成研究或者证明其获益大于风险的，将被注销药品注册证书等。受让方有能力组织实施本项目确证性临床研究的说明，包括但不限于已开展的其他品种确证性临床研究情况，本项目持有人变更后的移交计划、移交后项目实施计划等。</w:t>
      </w:r>
    </w:p>
    <w:p w14:paraId="64DE11FE">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楷体_GBK">
    <w:altName w:val="Arial Unicode MS"/>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1131">
    <w:pPr>
      <w:pStyle w:val="2"/>
      <w:wordWrap w:val="0"/>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4A12A2">
                          <w:pPr>
                            <w:pStyle w:val="2"/>
                            <w:wordWrap w:val="0"/>
                            <w:jc w:val="right"/>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124A12A2">
                    <w:pPr>
                      <w:pStyle w:val="2"/>
                      <w:wordWrap w:val="0"/>
                      <w:jc w:val="right"/>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62612"/>
    <w:multiLevelType w:val="singleLevel"/>
    <w:tmpl w:val="FEF626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63C1F"/>
    <w:rsid w:val="3C363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2025-07-08T07:50:00Z</dcterms:created>
  <dc:creator>新祺</dc:creator>
  <cp:lastModifiedBy>新祺</cp:lastModifiedBy>
  <dcterms:modified xsi:type="dcterms:W3CDTF">2025-07-08T07:51:17Z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7DA3A465D56940DEBB98DAC060685626_11</vt:lpwstr>
  </property>
  <property fmtid="{D5CDD505-2E9C-101B-9397-08002B2CF9AE}" pid="4" name="KSOTemplateDocerSaveRecord">
    <vt:lpwstr>eyJoZGlkIjoiNzUzMjcxYjI3MDRjMDIwZmVmYTgzNGM3MjE3OGJkMDMiLCJ1c2VySWQiOiIyNzgyMDExNzcifQ==</vt:lpwstr>
  </property>
</Properties>
</file>