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00F74">
      <w:pPr>
        <w:keepNext w:val="0"/>
        <w:keepLines w:val="0"/>
        <w:pageBreakBefore w:val="0"/>
        <w:widowControl w:val="0"/>
        <w:tabs>
          <w:tab w:val="left" w:pos="7513"/>
        </w:tabs>
        <w:kinsoku/>
        <w:wordWrap/>
        <w:overflowPunct w:val="0"/>
        <w:topLinePunct w:val="0"/>
        <w:autoSpaceDE/>
        <w:autoSpaceDN/>
        <w:bidi w:val="0"/>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3D025A34">
      <w:pPr>
        <w:keepNext w:val="0"/>
        <w:keepLines w:val="0"/>
        <w:pageBreakBefore w:val="0"/>
        <w:widowControl w:val="0"/>
        <w:kinsoku/>
        <w:wordWrap/>
        <w:overflowPunct w:val="0"/>
        <w:topLinePunct w:val="0"/>
        <w:autoSpaceDE/>
        <w:autoSpaceDN/>
        <w:bidi w:val="0"/>
        <w:adjustRightInd w:val="0"/>
        <w:snapToGrid w:val="0"/>
        <w:spacing w:line="560" w:lineRule="exact"/>
        <w:ind w:firstLine="880" w:firstLineChars="200"/>
        <w:jc w:val="both"/>
        <w:textAlignment w:val="auto"/>
        <w:rPr>
          <w:rFonts w:ascii="黑体" w:hAnsi="黑体" w:eastAsia="黑体" w:cs="黑体"/>
          <w:sz w:val="44"/>
          <w:szCs w:val="44"/>
          <w:highlight w:val="none"/>
        </w:rPr>
      </w:pPr>
    </w:p>
    <w:p w14:paraId="7AA51619">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药品附条件批准上市申请审评审批</w:t>
      </w:r>
    </w:p>
    <w:p w14:paraId="3CAE508F">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ascii="方正小标宋简体" w:eastAsia="方正小标宋简体"/>
          <w:sz w:val="44"/>
          <w:szCs w:val="44"/>
          <w:highlight w:val="none"/>
        </w:rPr>
      </w:pPr>
      <w:r>
        <w:rPr>
          <w:rFonts w:hint="eastAsia" w:ascii="方正小标宋简体" w:eastAsia="方正小标宋简体"/>
          <w:sz w:val="44"/>
          <w:szCs w:val="44"/>
          <w:highlight w:val="none"/>
        </w:rPr>
        <w:t>工作程序（试行）</w:t>
      </w:r>
    </w:p>
    <w:p w14:paraId="6ECCB747">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（修订稿征求意见稿）</w:t>
      </w:r>
    </w:p>
    <w:p w14:paraId="2B75B499">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仿宋_GB2312" w:eastAsia="仿宋_GB2312"/>
          <w:sz w:val="32"/>
          <w:szCs w:val="32"/>
          <w:highlight w:val="none"/>
        </w:rPr>
      </w:pPr>
    </w:p>
    <w:p w14:paraId="0CA4B782">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仿宋_GB2312"/>
          <w:sz w:val="32"/>
          <w:szCs w:val="32"/>
          <w:highlight w:val="none"/>
        </w:rPr>
        <w:t>为鼓励以临床价值为导向的药物创新，加快具有突出临床价值的临床急需药品上市，根据《中华人民共和国药品管理法》《中华人民共和国中医药法》《中华人民共和国疫苗管理法》《中华人民共和国药品管理法实施条例》《药品注册管理办法》等有关规定，制定本工作程序。</w:t>
      </w:r>
    </w:p>
    <w:p w14:paraId="2A03A124">
      <w:pPr>
        <w:keepNext w:val="0"/>
        <w:keepLines w:val="0"/>
        <w:pageBreakBefore w:val="0"/>
        <w:widowControl w:val="0"/>
        <w:tabs>
          <w:tab w:val="left" w:pos="3390"/>
        </w:tabs>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黑体"/>
          <w:sz w:val="32"/>
          <w:szCs w:val="32"/>
          <w:highlight w:val="none"/>
        </w:rPr>
        <w:t>一、适用条件</w:t>
      </w:r>
    </w:p>
    <w:p w14:paraId="13EF678B">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hint="default" w:eastAsia="仿宋_GB2312"/>
          <w:sz w:val="32"/>
          <w:szCs w:val="32"/>
          <w:highlight w:val="none"/>
        </w:rPr>
        <w:t>符合《药品附条件批准上市技术指导原则（试行）》《中药注册管理专门规定》</w:t>
      </w:r>
      <w:r>
        <w:rPr>
          <w:rFonts w:hint="eastAsia" w:eastAsia="仿宋_GB2312"/>
          <w:sz w:val="32"/>
          <w:szCs w:val="32"/>
          <w:highlight w:val="none"/>
          <w:lang w:eastAsia="zh-CN"/>
        </w:rPr>
        <w:t>及其他中药相关规定中明确符合</w:t>
      </w:r>
      <w:r>
        <w:rPr>
          <w:rFonts w:hint="default" w:eastAsia="仿宋_GB2312"/>
          <w:sz w:val="32"/>
          <w:szCs w:val="32"/>
          <w:highlight w:val="none"/>
        </w:rPr>
        <w:t>附条件批准情形和条件的药品，申请人可以在药物临床试验或人用经验研究期间，向国家药品监督管理局药品审评中心（以下简称药审中心）提出附条件批准申请</w:t>
      </w:r>
      <w:r>
        <w:rPr>
          <w:rFonts w:eastAsia="仿宋_GB2312"/>
          <w:sz w:val="32"/>
          <w:szCs w:val="32"/>
          <w:highlight w:val="none"/>
        </w:rPr>
        <w:t>。其中：</w:t>
      </w:r>
    </w:p>
    <w:p w14:paraId="39918E4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6"/>
          <w:highlight w:val="none"/>
        </w:rPr>
      </w:pPr>
      <w:r>
        <w:rPr>
          <w:rFonts w:hint="eastAsia" w:eastAsia="仿宋_GB2312"/>
          <w:sz w:val="32"/>
          <w:szCs w:val="32"/>
          <w:highlight w:val="none"/>
        </w:rPr>
        <w:t>（一）</w:t>
      </w:r>
      <w:r>
        <w:rPr>
          <w:rFonts w:eastAsia="仿宋_GB2312"/>
          <w:sz w:val="32"/>
          <w:szCs w:val="36"/>
          <w:highlight w:val="none"/>
        </w:rPr>
        <w:t>公共卫生方面急需的药品由国家卫生健康主管部门等有关部门提出。</w:t>
      </w:r>
    </w:p>
    <w:p w14:paraId="50695483">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6"/>
          <w:highlight w:val="none"/>
        </w:rPr>
      </w:pPr>
      <w:r>
        <w:rPr>
          <w:rFonts w:hint="eastAsia" w:eastAsia="仿宋_GB2312"/>
          <w:sz w:val="32"/>
          <w:szCs w:val="36"/>
          <w:highlight w:val="none"/>
        </w:rPr>
        <w:t>（二）</w:t>
      </w:r>
      <w:r>
        <w:rPr>
          <w:rFonts w:eastAsia="仿宋_GB2312"/>
          <w:sz w:val="32"/>
          <w:szCs w:val="36"/>
          <w:highlight w:val="none"/>
        </w:rPr>
        <w:t>重大突发公共卫生事件急需的疫苗应为按照《突发公共卫生事件应急条例》《国家突发公共卫生事件应急预案》等认定的重大突发公共卫生事件（II级）或者特别重大突发公共卫生事件（I级）相关疾病的预防用疫苗。</w:t>
      </w:r>
    </w:p>
    <w:p w14:paraId="0201C67F">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黑体"/>
          <w:sz w:val="32"/>
          <w:szCs w:val="32"/>
          <w:highlight w:val="none"/>
        </w:rPr>
        <w:t>二、工作程序</w:t>
      </w:r>
    </w:p>
    <w:p w14:paraId="1777751B">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eastAsia="楷体_GB2312"/>
          <w:sz w:val="32"/>
          <w:szCs w:val="32"/>
          <w:highlight w:val="none"/>
        </w:rPr>
        <w:t>（一）早期沟通交流申请。</w:t>
      </w:r>
      <w:r>
        <w:rPr>
          <w:rFonts w:eastAsia="仿宋_GB2312"/>
          <w:sz w:val="32"/>
          <w:szCs w:val="32"/>
          <w:highlight w:val="none"/>
        </w:rPr>
        <w:t>鼓励申请人在药物临床试验期间，经充分评估后，按照相关技术指导原则的要求就附条件批准的临床研究计划、关键临床试验设计及疗效指标选择、其他附条件批准的前提条件、</w:t>
      </w:r>
      <w:r>
        <w:rPr>
          <w:rFonts w:hint="eastAsia" w:eastAsia="仿宋_GB2312"/>
          <w:sz w:val="32"/>
          <w:highlight w:val="none"/>
        </w:rPr>
        <w:t>确证性研究</w:t>
      </w:r>
      <w:r>
        <w:rPr>
          <w:rFonts w:eastAsia="仿宋_GB2312"/>
          <w:sz w:val="32"/>
          <w:highlight w:val="none"/>
        </w:rPr>
        <w:t>的</w:t>
      </w:r>
      <w:r>
        <w:rPr>
          <w:rFonts w:hint="eastAsia" w:eastAsia="仿宋_GB2312"/>
          <w:sz w:val="32"/>
          <w:highlight w:val="none"/>
        </w:rPr>
        <w:t>初步</w:t>
      </w:r>
      <w:r>
        <w:rPr>
          <w:rFonts w:eastAsia="仿宋_GB2312"/>
          <w:sz w:val="32"/>
          <w:highlight w:val="none"/>
        </w:rPr>
        <w:t>设计和实施计划等</w:t>
      </w:r>
      <w:r>
        <w:rPr>
          <w:rFonts w:eastAsia="仿宋_GB2312"/>
          <w:sz w:val="32"/>
          <w:szCs w:val="32"/>
          <w:highlight w:val="none"/>
        </w:rPr>
        <w:t>与药审中心进行沟通。</w:t>
      </w:r>
    </w:p>
    <w:p w14:paraId="25DF615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楷体_GB2312"/>
          <w:sz w:val="32"/>
          <w:szCs w:val="32"/>
          <w:highlight w:val="none"/>
        </w:rPr>
        <w:t>（二）上市申请前的沟通交流申请。</w:t>
      </w:r>
      <w:r>
        <w:rPr>
          <w:rFonts w:eastAsia="仿宋_GB2312"/>
          <w:sz w:val="32"/>
          <w:szCs w:val="32"/>
          <w:highlight w:val="none"/>
        </w:rPr>
        <w:t>拟申请附条件批准上市的，药品上市许可申请递交前，申请人应当就附条件批准上市的条件</w:t>
      </w:r>
      <w:r>
        <w:rPr>
          <w:rFonts w:hint="eastAsia" w:eastAsia="仿宋_GB2312"/>
          <w:sz w:val="32"/>
          <w:szCs w:val="32"/>
          <w:highlight w:val="none"/>
        </w:rPr>
        <w:t>、</w:t>
      </w:r>
      <w:r>
        <w:rPr>
          <w:rFonts w:hint="default" w:eastAsia="仿宋_GB2312"/>
          <w:b w:val="0"/>
          <w:bCs w:val="0"/>
          <w:sz w:val="32"/>
          <w:szCs w:val="32"/>
          <w:highlight w:val="none"/>
          <w:u w:val="none"/>
        </w:rPr>
        <w:t>确证性研究的进展</w:t>
      </w:r>
      <w:r>
        <w:rPr>
          <w:rFonts w:hint="eastAsia" w:eastAsia="仿宋_GB2312"/>
          <w:sz w:val="32"/>
          <w:szCs w:val="32"/>
          <w:highlight w:val="none"/>
        </w:rPr>
        <w:t>、预期完成时间</w:t>
      </w:r>
      <w:r>
        <w:rPr>
          <w:rFonts w:eastAsia="仿宋_GB2312"/>
          <w:sz w:val="32"/>
          <w:szCs w:val="32"/>
          <w:highlight w:val="none"/>
        </w:rPr>
        <w:t>和上市后继续完成的</w:t>
      </w:r>
      <w:r>
        <w:rPr>
          <w:rFonts w:hint="eastAsia" w:eastAsia="仿宋_GB2312"/>
          <w:sz w:val="32"/>
          <w:szCs w:val="32"/>
          <w:highlight w:val="none"/>
        </w:rPr>
        <w:t>其他</w:t>
      </w:r>
      <w:r>
        <w:rPr>
          <w:rFonts w:eastAsia="仿宋_GB2312"/>
          <w:sz w:val="32"/>
          <w:szCs w:val="32"/>
          <w:highlight w:val="none"/>
        </w:rPr>
        <w:t>研究工作等与药审中心沟通交流</w:t>
      </w:r>
      <w:r>
        <w:rPr>
          <w:rFonts w:hint="eastAsia" w:eastAsia="仿宋_GB2312"/>
          <w:sz w:val="32"/>
          <w:szCs w:val="32"/>
          <w:highlight w:val="none"/>
        </w:rPr>
        <w:t>。</w:t>
      </w:r>
      <w:r>
        <w:rPr>
          <w:rFonts w:eastAsia="仿宋_GB2312"/>
          <w:sz w:val="32"/>
          <w:szCs w:val="32"/>
          <w:highlight w:val="none"/>
        </w:rPr>
        <w:t>拟申请优先审评审批的，</w:t>
      </w:r>
      <w:r>
        <w:rPr>
          <w:rFonts w:hint="eastAsia" w:eastAsia="仿宋_GB2312"/>
          <w:sz w:val="32"/>
          <w:szCs w:val="32"/>
          <w:highlight w:val="none"/>
        </w:rPr>
        <w:t>可在沟通交流中一并提出，待同意后按照《药品上市许可优先审评审批工作程序（试行）》及有关规定提出优先审评审批申请。</w:t>
      </w:r>
    </w:p>
    <w:p w14:paraId="7603890B">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楷体_GB2312"/>
          <w:sz w:val="32"/>
          <w:szCs w:val="32"/>
          <w:highlight w:val="none"/>
        </w:rPr>
        <w:t>（三）提交附条件批准上市申请。</w:t>
      </w:r>
      <w:r>
        <w:rPr>
          <w:rFonts w:eastAsia="仿宋_GB2312"/>
          <w:sz w:val="32"/>
          <w:szCs w:val="32"/>
          <w:highlight w:val="none"/>
        </w:rPr>
        <w:t>经沟通交流评估确认初步符合附条件批准要求的，申请人可以在提出药品上市许可申请的同时，提</w:t>
      </w:r>
      <w:r>
        <w:rPr>
          <w:rFonts w:hint="eastAsia" w:eastAsia="仿宋_GB2312"/>
          <w:sz w:val="32"/>
          <w:szCs w:val="32"/>
          <w:highlight w:val="none"/>
          <w:lang w:eastAsia="zh-CN"/>
        </w:rPr>
        <w:t>交</w:t>
      </w:r>
      <w:r>
        <w:rPr>
          <w:rFonts w:eastAsia="仿宋_GB2312"/>
          <w:sz w:val="32"/>
          <w:szCs w:val="32"/>
          <w:highlight w:val="none"/>
        </w:rPr>
        <w:t>药品附条件批准上市申请</w:t>
      </w:r>
      <w:r>
        <w:rPr>
          <w:rFonts w:hint="eastAsia" w:eastAsia="仿宋_GB2312"/>
          <w:sz w:val="32"/>
          <w:szCs w:val="32"/>
          <w:highlight w:val="none"/>
          <w:lang w:eastAsia="zh-CN"/>
        </w:rPr>
        <w:t>表</w:t>
      </w:r>
      <w:r>
        <w:rPr>
          <w:rFonts w:eastAsia="仿宋_GB2312"/>
          <w:sz w:val="32"/>
          <w:szCs w:val="32"/>
          <w:highlight w:val="none"/>
        </w:rPr>
        <w:t>（见附</w:t>
      </w:r>
      <w:r>
        <w:rPr>
          <w:rFonts w:hint="default" w:eastAsia="仿宋_GB2312"/>
          <w:sz w:val="32"/>
          <w:szCs w:val="32"/>
          <w:highlight w:val="none"/>
          <w:lang w:val="en-US"/>
        </w:rPr>
        <w:t>1</w:t>
      </w:r>
      <w:r>
        <w:rPr>
          <w:rFonts w:eastAsia="仿宋_GB2312"/>
          <w:sz w:val="32"/>
          <w:szCs w:val="32"/>
          <w:highlight w:val="none"/>
        </w:rPr>
        <w:t>），并按相关技术指导原则要求提交支持性资料</w:t>
      </w:r>
      <w:r>
        <w:rPr>
          <w:rFonts w:hint="eastAsia" w:eastAsia="仿宋_GB2312"/>
          <w:sz w:val="32"/>
          <w:szCs w:val="32"/>
          <w:highlight w:val="none"/>
          <w:lang w:eastAsia="zh-CN"/>
        </w:rPr>
        <w:t>。</w:t>
      </w:r>
      <w:r>
        <w:rPr>
          <w:rFonts w:hint="eastAsia" w:eastAsia="仿宋_GB2312"/>
          <w:sz w:val="32"/>
          <w:szCs w:val="32"/>
          <w:highlight w:val="none"/>
        </w:rPr>
        <w:t>对以早期临床试验数据支持附条件上市的，</w:t>
      </w:r>
      <w:r>
        <w:rPr>
          <w:rFonts w:hint="default" w:eastAsia="仿宋_GB2312"/>
          <w:b w:val="0"/>
          <w:bCs w:val="0"/>
          <w:sz w:val="32"/>
          <w:szCs w:val="32"/>
          <w:highlight w:val="none"/>
          <w:u w:val="none"/>
        </w:rPr>
        <w:t>还应提交已启动确证性研究的证明资料（以首例受试者签署知情同意书为标准）</w:t>
      </w:r>
      <w:r>
        <w:rPr>
          <w:rFonts w:eastAsia="仿宋_GB2312"/>
          <w:sz w:val="32"/>
          <w:szCs w:val="32"/>
          <w:highlight w:val="none"/>
        </w:rPr>
        <w:t>。</w:t>
      </w:r>
    </w:p>
    <w:p w14:paraId="44817C4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eastAsia="楷体_GB2312"/>
          <w:sz w:val="32"/>
          <w:szCs w:val="32"/>
          <w:highlight w:val="none"/>
        </w:rPr>
        <w:t>（四）</w:t>
      </w:r>
      <w:r>
        <w:rPr>
          <w:rFonts w:hint="eastAsia" w:eastAsia="楷体_GB2312"/>
          <w:sz w:val="32"/>
          <w:szCs w:val="32"/>
          <w:highlight w:val="none"/>
        </w:rPr>
        <w:t>附条件批准上市申请</w:t>
      </w:r>
      <w:r>
        <w:rPr>
          <w:rFonts w:eastAsia="楷体_GB2312"/>
          <w:sz w:val="32"/>
          <w:szCs w:val="32"/>
          <w:highlight w:val="none"/>
        </w:rPr>
        <w:t>审评审批。</w:t>
      </w:r>
      <w:r>
        <w:rPr>
          <w:rFonts w:eastAsia="仿宋_GB2312"/>
          <w:sz w:val="32"/>
          <w:highlight w:val="none"/>
        </w:rPr>
        <w:t>审评通过，附条件批准药品上市的，发给药品注册证书，并载明药品注册证书的有效期、上市后需要继续完成的研究工作及完成时限等。</w:t>
      </w:r>
      <w:r>
        <w:rPr>
          <w:rFonts w:hint="eastAsia" w:eastAsia="仿宋_GB2312"/>
          <w:sz w:val="32"/>
          <w:highlight w:val="none"/>
        </w:rPr>
        <w:t>完成时限自附条件批准上市之日起，原则上不超过4年。</w:t>
      </w:r>
      <w:r>
        <w:rPr>
          <w:rFonts w:eastAsia="仿宋_GB2312"/>
          <w:sz w:val="32"/>
          <w:highlight w:val="none"/>
        </w:rPr>
        <w:t>药品注册证书有效期根据</w:t>
      </w:r>
      <w:r>
        <w:rPr>
          <w:rFonts w:hint="eastAsia" w:eastAsia="仿宋_GB2312"/>
          <w:sz w:val="32"/>
          <w:highlight w:val="none"/>
        </w:rPr>
        <w:t>确证性</w:t>
      </w:r>
      <w:r>
        <w:rPr>
          <w:rFonts w:eastAsia="仿宋_GB2312"/>
          <w:sz w:val="32"/>
          <w:highlight w:val="none"/>
        </w:rPr>
        <w:t>研究的完成时限</w:t>
      </w:r>
      <w:r>
        <w:rPr>
          <w:rFonts w:hint="eastAsia" w:eastAsia="仿宋_GB2312"/>
          <w:sz w:val="32"/>
          <w:highlight w:val="none"/>
        </w:rPr>
        <w:t>及审评完成时限</w:t>
      </w:r>
      <w:r>
        <w:rPr>
          <w:rFonts w:eastAsia="仿宋_GB2312"/>
          <w:sz w:val="32"/>
          <w:highlight w:val="none"/>
        </w:rPr>
        <w:t>确定。</w:t>
      </w:r>
    </w:p>
    <w:p w14:paraId="2DBDD00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eastAsia="仿宋_GB2312"/>
          <w:sz w:val="32"/>
          <w:highlight w:val="none"/>
        </w:rPr>
        <w:t>经技术审评发现不满足附条件批准上市要求的，作出不</w:t>
      </w:r>
      <w:r>
        <w:rPr>
          <w:rFonts w:hint="eastAsia" w:eastAsia="仿宋_GB2312"/>
          <w:sz w:val="32"/>
          <w:highlight w:val="none"/>
          <w:lang w:eastAsia="zh-CN"/>
        </w:rPr>
        <w:t>通过</w:t>
      </w:r>
      <w:r>
        <w:rPr>
          <w:rFonts w:eastAsia="仿宋_GB2312"/>
          <w:sz w:val="32"/>
          <w:highlight w:val="none"/>
        </w:rPr>
        <w:t>的审评结论</w:t>
      </w:r>
      <w:r>
        <w:rPr>
          <w:rFonts w:hint="eastAsia" w:eastAsia="仿宋_GB2312"/>
          <w:sz w:val="32"/>
          <w:highlight w:val="none"/>
          <w:lang w:eastAsia="zh-CN"/>
        </w:rPr>
        <w:t>，发给药品注册申请不予批准通知书</w:t>
      </w:r>
      <w:r>
        <w:rPr>
          <w:rFonts w:eastAsia="仿宋_GB2312"/>
          <w:sz w:val="32"/>
          <w:highlight w:val="none"/>
        </w:rPr>
        <w:t>。申请人可以在完成相应研究后按</w:t>
      </w:r>
      <w:r>
        <w:rPr>
          <w:rFonts w:hint="eastAsia" w:eastAsia="仿宋_GB2312"/>
          <w:sz w:val="32"/>
          <w:highlight w:val="none"/>
        </w:rPr>
        <w:t>常规批准注册</w:t>
      </w:r>
      <w:r>
        <w:rPr>
          <w:rFonts w:eastAsia="仿宋_GB2312"/>
          <w:sz w:val="32"/>
          <w:highlight w:val="none"/>
        </w:rPr>
        <w:t>程序重新申报。</w:t>
      </w:r>
    </w:p>
    <w:p w14:paraId="456D0F69">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_GB2312"/>
          <w:sz w:val="32"/>
          <w:szCs w:val="32"/>
          <w:highlight w:val="none"/>
          <w:lang w:eastAsia="zh-CN"/>
        </w:rPr>
      </w:pPr>
      <w:r>
        <w:rPr>
          <w:rFonts w:hint="eastAsia" w:eastAsia="仿宋_GB2312"/>
          <w:sz w:val="32"/>
          <w:highlight w:val="none"/>
          <w:lang w:eastAsia="zh-CN"/>
        </w:rPr>
        <w:t>在</w:t>
      </w:r>
      <w:r>
        <w:rPr>
          <w:rFonts w:hint="eastAsia" w:eastAsia="仿宋_GB2312"/>
          <w:sz w:val="32"/>
          <w:highlight w:val="none"/>
        </w:rPr>
        <w:t>附条件上市申请审评期间，</w:t>
      </w:r>
      <w:r>
        <w:rPr>
          <w:rFonts w:hint="eastAsia" w:eastAsia="仿宋_GB2312"/>
          <w:sz w:val="32"/>
          <w:highlight w:val="none"/>
          <w:lang w:val="en-US" w:eastAsia="zh-CN"/>
        </w:rPr>
        <w:t>申请人如</w:t>
      </w:r>
      <w:r>
        <w:rPr>
          <w:rFonts w:hint="eastAsia" w:eastAsia="仿宋_GB2312"/>
          <w:sz w:val="32"/>
          <w:highlight w:val="none"/>
        </w:rPr>
        <w:t>完成确证性研究</w:t>
      </w:r>
      <w:r>
        <w:rPr>
          <w:rFonts w:hint="eastAsia" w:eastAsia="仿宋_GB2312"/>
          <w:sz w:val="32"/>
          <w:highlight w:val="none"/>
          <w:lang w:eastAsia="zh-CN"/>
        </w:rPr>
        <w:t>，</w:t>
      </w:r>
      <w:r>
        <w:rPr>
          <w:rFonts w:hint="eastAsia" w:eastAsia="仿宋_GB2312"/>
          <w:sz w:val="32"/>
          <w:highlight w:val="none"/>
          <w:lang w:val="en-US" w:eastAsia="zh-CN"/>
        </w:rPr>
        <w:t>可</w:t>
      </w:r>
      <w:r>
        <w:rPr>
          <w:rFonts w:hint="eastAsia" w:eastAsia="仿宋_GB2312"/>
          <w:sz w:val="32"/>
          <w:highlight w:val="none"/>
        </w:rPr>
        <w:t>向药审中心提出转为常规审评程序</w:t>
      </w:r>
      <w:r>
        <w:rPr>
          <w:rFonts w:hint="eastAsia" w:eastAsia="仿宋_GB2312"/>
          <w:sz w:val="32"/>
          <w:highlight w:val="none"/>
          <w:lang w:eastAsia="zh-CN"/>
        </w:rPr>
        <w:t>，</w:t>
      </w:r>
      <w:r>
        <w:rPr>
          <w:rFonts w:hint="eastAsia" w:eastAsia="仿宋_GB2312"/>
          <w:sz w:val="32"/>
          <w:highlight w:val="none"/>
          <w:lang w:val="en-US" w:eastAsia="zh-CN"/>
        </w:rPr>
        <w:t>并补充确证性研究资料</w:t>
      </w:r>
      <w:r>
        <w:rPr>
          <w:rFonts w:hint="eastAsia" w:eastAsia="仿宋_GB2312"/>
          <w:sz w:val="32"/>
          <w:highlight w:val="none"/>
        </w:rPr>
        <w:t>，药审中心经评估符合要求的，可终止附条件审评程序，</w:t>
      </w:r>
      <w:r>
        <w:rPr>
          <w:rFonts w:hint="eastAsia" w:ascii="Times New Roman" w:hAnsi="Times New Roman" w:eastAsia="仿宋_GB2312"/>
          <w:sz w:val="32"/>
          <w:szCs w:val="32"/>
          <w:highlight w:val="none"/>
        </w:rPr>
        <w:t>转为常规审评程序。</w:t>
      </w:r>
    </w:p>
    <w:p w14:paraId="15ADC1E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ascii="Times New Roman" w:hAnsi="Times New Roman" w:eastAsia="楷体_GB2312"/>
          <w:sz w:val="32"/>
          <w:szCs w:val="32"/>
          <w:highlight w:val="none"/>
        </w:rPr>
        <w:t>（五）所附条件的研究。</w:t>
      </w:r>
      <w:r>
        <w:rPr>
          <w:rFonts w:eastAsia="仿宋_GB2312"/>
          <w:spacing w:val="-6"/>
          <w:sz w:val="32"/>
          <w:highlight w:val="none"/>
        </w:rPr>
        <w:t>药品附条件批准上市</w:t>
      </w:r>
      <w:r>
        <w:rPr>
          <w:rFonts w:hint="eastAsia" w:eastAsia="仿宋_GB2312"/>
          <w:spacing w:val="-6"/>
          <w:sz w:val="32"/>
          <w:highlight w:val="none"/>
          <w:lang w:eastAsia="zh-CN"/>
        </w:rPr>
        <w:t>后</w:t>
      </w:r>
      <w:r>
        <w:rPr>
          <w:rFonts w:eastAsia="仿宋_GB2312"/>
          <w:spacing w:val="-6"/>
          <w:sz w:val="32"/>
          <w:highlight w:val="none"/>
        </w:rPr>
        <w:t>，持有人应当采取相应的风险管理措施，并在规定期限内按照要求完成</w:t>
      </w:r>
      <w:r>
        <w:rPr>
          <w:rFonts w:hint="eastAsia" w:eastAsia="仿宋_GB2312"/>
          <w:spacing w:val="-6"/>
          <w:sz w:val="32"/>
          <w:highlight w:val="none"/>
        </w:rPr>
        <w:t>药品注册证书载明的所附条件研究</w:t>
      </w:r>
      <w:r>
        <w:rPr>
          <w:rFonts w:eastAsia="仿宋_GB2312"/>
          <w:spacing w:val="-6"/>
          <w:sz w:val="32"/>
          <w:highlight w:val="none"/>
        </w:rPr>
        <w:t>，</w:t>
      </w:r>
      <w:r>
        <w:rPr>
          <w:rFonts w:hint="eastAsia" w:eastAsia="仿宋_GB2312"/>
          <w:sz w:val="32"/>
          <w:szCs w:val="32"/>
          <w:highlight w:val="none"/>
        </w:rPr>
        <w:t>自</w:t>
      </w:r>
      <w:r>
        <w:rPr>
          <w:rFonts w:ascii="Times New Roman" w:hAnsi="Times New Roman" w:eastAsia="仿宋_GB2312"/>
          <w:sz w:val="32"/>
          <w:szCs w:val="32"/>
          <w:highlight w:val="none"/>
        </w:rPr>
        <w:t>附条件批准上市起每12个月</w:t>
      </w:r>
      <w:r>
        <w:rPr>
          <w:rFonts w:hint="eastAsia" w:ascii="Times New Roman" w:hAnsi="Times New Roman" w:eastAsia="仿宋_GB2312"/>
          <w:sz w:val="32"/>
          <w:szCs w:val="32"/>
          <w:highlight w:val="none"/>
          <w:lang w:val="en-US" w:eastAsia="zh-CN"/>
        </w:rPr>
        <w:t>在</w:t>
      </w:r>
      <w:r>
        <w:rPr>
          <w:rFonts w:hint="eastAsia" w:ascii="Times New Roman" w:hAnsi="Times New Roman" w:eastAsia="仿宋_GB2312" w:cs="Times New Roman"/>
          <w:color w:val="auto"/>
          <w:kern w:val="2"/>
          <w:sz w:val="32"/>
          <w:szCs w:val="32"/>
          <w:highlight w:val="none"/>
          <w:shd w:val="clear" w:color="auto" w:fill="auto"/>
          <w:lang w:bidi="ar"/>
        </w:rPr>
        <w:t>研发</w:t>
      </w:r>
      <w:r>
        <w:rPr>
          <w:rFonts w:hint="eastAsia" w:ascii="Times New Roman" w:hAnsi="Times New Roman" w:eastAsia="仿宋_GB2312"/>
          <w:sz w:val="32"/>
          <w:szCs w:val="32"/>
          <w:highlight w:val="none"/>
          <w:lang w:bidi="ar"/>
        </w:rPr>
        <w:t>期间</w:t>
      </w:r>
      <w:r>
        <w:rPr>
          <w:rFonts w:hint="eastAsia" w:ascii="Times New Roman" w:hAnsi="Times New Roman" w:eastAsia="仿宋_GB2312" w:cs="Times New Roman"/>
          <w:color w:val="auto"/>
          <w:kern w:val="2"/>
          <w:sz w:val="32"/>
          <w:szCs w:val="32"/>
          <w:highlight w:val="none"/>
          <w:shd w:val="clear" w:color="auto" w:fill="auto"/>
          <w:lang w:bidi="ar"/>
        </w:rPr>
        <w:t>安全性更新报告</w:t>
      </w:r>
      <w:r>
        <w:rPr>
          <w:rFonts w:hint="eastAsia" w:ascii="Times New Roman" w:hAnsi="Times New Roman" w:eastAsia="仿宋_GB2312" w:cs="Times New Roman"/>
          <w:color w:val="auto"/>
          <w:kern w:val="2"/>
          <w:sz w:val="32"/>
          <w:szCs w:val="32"/>
          <w:highlight w:val="none"/>
          <w:shd w:val="clear" w:color="auto" w:fill="auto"/>
          <w:lang w:val="en-US" w:eastAsia="zh-CN" w:bidi="ar"/>
        </w:rPr>
        <w:t>中</w:t>
      </w:r>
      <w:r>
        <w:rPr>
          <w:rFonts w:ascii="Times New Roman" w:hAnsi="Times New Roman" w:eastAsia="仿宋_GB2312"/>
          <w:sz w:val="32"/>
          <w:szCs w:val="32"/>
          <w:highlight w:val="none"/>
        </w:rPr>
        <w:t>向药审中心</w:t>
      </w:r>
      <w:r>
        <w:rPr>
          <w:rFonts w:hint="eastAsia" w:ascii="Times New Roman" w:hAnsi="Times New Roman" w:eastAsia="仿宋_GB2312"/>
          <w:sz w:val="32"/>
          <w:szCs w:val="32"/>
          <w:highlight w:val="none"/>
          <w:lang w:val="en-US" w:eastAsia="zh-CN"/>
        </w:rPr>
        <w:t>一并</w:t>
      </w:r>
      <w:r>
        <w:rPr>
          <w:rFonts w:ascii="Times New Roman" w:hAnsi="Times New Roman" w:eastAsia="仿宋_GB2312"/>
          <w:sz w:val="32"/>
          <w:szCs w:val="32"/>
          <w:highlight w:val="none"/>
        </w:rPr>
        <w:t>告</w:t>
      </w:r>
      <w:r>
        <w:rPr>
          <w:rFonts w:hint="eastAsia" w:ascii="Times New Roman" w:hAnsi="Times New Roman" w:eastAsia="仿宋_GB2312"/>
          <w:sz w:val="32"/>
          <w:szCs w:val="32"/>
          <w:highlight w:val="none"/>
        </w:rPr>
        <w:t>所附条件</w:t>
      </w:r>
      <w:r>
        <w:rPr>
          <w:rFonts w:ascii="Times New Roman" w:hAnsi="Times New Roman" w:eastAsia="仿宋_GB2312"/>
          <w:sz w:val="32"/>
          <w:szCs w:val="32"/>
          <w:highlight w:val="none"/>
        </w:rPr>
        <w:t>研究进展。</w:t>
      </w:r>
    </w:p>
    <w:p w14:paraId="696E137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default" w:ascii="Times New Roman" w:hAnsi="Times New Roman" w:eastAsia="仿宋_GB2312"/>
          <w:sz w:val="32"/>
          <w:szCs w:val="32"/>
          <w:highlight w:val="none"/>
        </w:rPr>
        <w:t>所附条件研究</w:t>
      </w:r>
      <w:r>
        <w:rPr>
          <w:rFonts w:hint="default" w:ascii="Times New Roman" w:hAnsi="Times New Roman" w:eastAsia="仿宋_GB2312"/>
          <w:sz w:val="32"/>
          <w:szCs w:val="32"/>
          <w:highlight w:val="none"/>
          <w:lang w:eastAsia="zh-CN"/>
        </w:rPr>
        <w:t>期间</w:t>
      </w:r>
      <w:r>
        <w:rPr>
          <w:rFonts w:hint="eastAsia" w:eastAsia="仿宋_GB2312"/>
          <w:sz w:val="32"/>
          <w:szCs w:val="32"/>
          <w:highlight w:val="none"/>
        </w:rPr>
        <w:t>，</w:t>
      </w:r>
      <w:r>
        <w:rPr>
          <w:rFonts w:hint="eastAsia" w:ascii="Calibri" w:hAnsi="Calibri" w:eastAsia="仿宋_GB2312" w:cs="Times New Roman"/>
          <w:i w:val="0"/>
          <w:caps w:val="0"/>
          <w:color w:val="auto"/>
          <w:spacing w:val="0"/>
          <w:kern w:val="2"/>
          <w:sz w:val="32"/>
          <w:szCs w:val="32"/>
          <w:highlight w:val="none"/>
          <w:shd w:val="clear" w:color="auto" w:fill="auto"/>
          <w:lang w:val="en-US" w:eastAsia="zh-CN" w:bidi="ar"/>
        </w:rPr>
        <w:t>对于变更临床试验方案等可能增加受试者安全性风险的情形，持有人应按相关规定及时递交补充申请。</w:t>
      </w:r>
      <w:r>
        <w:rPr>
          <w:rFonts w:hint="eastAsia" w:eastAsia="仿宋_GB2312"/>
          <w:sz w:val="32"/>
          <w:szCs w:val="32"/>
          <w:highlight w:val="none"/>
          <w:lang w:eastAsia="zh-CN"/>
        </w:rPr>
        <w:t>对</w:t>
      </w:r>
      <w:r>
        <w:rPr>
          <w:rFonts w:hint="eastAsia" w:eastAsia="仿宋_GB2312"/>
          <w:sz w:val="32"/>
          <w:szCs w:val="32"/>
          <w:highlight w:val="none"/>
        </w:rPr>
        <w:t>确因客观原因，无法开展所附条件的药物临床试验而需要更换确证性研究的，持有人可提出沟通交流申请，</w:t>
      </w:r>
      <w:r>
        <w:rPr>
          <w:rFonts w:hint="eastAsia" w:eastAsia="仿宋_GB2312"/>
          <w:sz w:val="32"/>
          <w:szCs w:val="32"/>
          <w:highlight w:val="none"/>
          <w:lang w:eastAsia="zh-CN"/>
        </w:rPr>
        <w:t>与药审中心沟通一致后</w:t>
      </w:r>
      <w:r>
        <w:rPr>
          <w:rFonts w:hint="eastAsia" w:eastAsia="仿宋_GB2312"/>
          <w:sz w:val="32"/>
          <w:szCs w:val="32"/>
          <w:highlight w:val="none"/>
        </w:rPr>
        <w:t>，按要求提出补充申请或临床试验申请</w:t>
      </w:r>
      <w:r>
        <w:rPr>
          <w:rFonts w:hint="eastAsia" w:eastAsia="仿宋_GB2312"/>
          <w:sz w:val="32"/>
          <w:szCs w:val="32"/>
          <w:highlight w:val="none"/>
          <w:lang w:eastAsia="zh-CN"/>
        </w:rPr>
        <w:t>，药审中心</w:t>
      </w:r>
      <w:r>
        <w:rPr>
          <w:rFonts w:ascii="Times New Roman" w:hAnsi="Times New Roman" w:eastAsia="仿宋_GB2312"/>
          <w:sz w:val="32"/>
          <w:szCs w:val="32"/>
          <w:highlight w:val="none"/>
        </w:rPr>
        <w:t>审评</w:t>
      </w:r>
      <w:r>
        <w:rPr>
          <w:rFonts w:hint="eastAsia" w:eastAsia="仿宋_GB2312"/>
          <w:sz w:val="32"/>
          <w:szCs w:val="32"/>
          <w:highlight w:val="none"/>
        </w:rPr>
        <w:t>通过后</w:t>
      </w:r>
      <w:r>
        <w:rPr>
          <w:rFonts w:ascii="Times New Roman" w:hAnsi="Times New Roman" w:eastAsia="仿宋_GB2312"/>
          <w:sz w:val="32"/>
          <w:szCs w:val="32"/>
          <w:highlight w:val="none"/>
        </w:rPr>
        <w:t>，重新确定</w:t>
      </w:r>
      <w:r>
        <w:rPr>
          <w:rFonts w:hint="eastAsia" w:ascii="Times New Roman" w:hAnsi="Times New Roman" w:eastAsia="仿宋_GB2312"/>
          <w:sz w:val="32"/>
          <w:szCs w:val="32"/>
          <w:highlight w:val="none"/>
          <w:lang w:eastAsia="zh-CN"/>
        </w:rPr>
        <w:t>确证性研究、</w:t>
      </w:r>
      <w:r>
        <w:rPr>
          <w:rFonts w:ascii="Times New Roman" w:hAnsi="Times New Roman" w:eastAsia="仿宋_GB2312"/>
          <w:sz w:val="32"/>
          <w:szCs w:val="32"/>
          <w:highlight w:val="none"/>
        </w:rPr>
        <w:t>研究时限及药品注册证书有效期，重新确定的研究期限不得长于原研究期限。</w:t>
      </w:r>
      <w:r>
        <w:rPr>
          <w:rFonts w:hint="eastAsia" w:eastAsia="仿宋_GB2312"/>
          <w:sz w:val="32"/>
          <w:szCs w:val="32"/>
          <w:highlight w:val="none"/>
        </w:rPr>
        <w:t>审评部门不同意变更的，持有人应按原临床研究方案完成。</w:t>
      </w:r>
    </w:p>
    <w:p w14:paraId="243D0335">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 w:cs="Times New Roman"/>
          <w:b/>
          <w:bCs/>
          <w:color w:val="000000"/>
          <w:sz w:val="32"/>
          <w:szCs w:val="32"/>
        </w:rPr>
      </w:pPr>
      <w:r>
        <w:rPr>
          <w:rFonts w:hint="eastAsia" w:eastAsia="仿宋_GB2312"/>
          <w:sz w:val="32"/>
          <w:szCs w:val="32"/>
          <w:highlight w:val="none"/>
        </w:rPr>
        <w:t>持有人无法按期完成所附条件</w:t>
      </w:r>
      <w:r>
        <w:rPr>
          <w:rFonts w:hint="eastAsia" w:eastAsia="仿宋_GB2312"/>
          <w:sz w:val="32"/>
          <w:szCs w:val="32"/>
          <w:highlight w:val="none"/>
          <w:lang w:eastAsia="zh-CN"/>
        </w:rPr>
        <w:t>研究</w:t>
      </w:r>
      <w:r>
        <w:rPr>
          <w:rFonts w:hint="eastAsia" w:eastAsia="仿宋_GB2312"/>
          <w:sz w:val="32"/>
          <w:szCs w:val="32"/>
          <w:highlight w:val="none"/>
        </w:rPr>
        <w:t>的，</w:t>
      </w:r>
      <w:r>
        <w:rPr>
          <w:rFonts w:hint="eastAsia" w:ascii="Times New Roman" w:hAnsi="Times New Roman" w:eastAsia="仿宋_GB2312"/>
          <w:sz w:val="32"/>
          <w:szCs w:val="32"/>
          <w:highlight w:val="none"/>
          <w:lang w:val="en-US" w:eastAsia="zh-CN"/>
        </w:rPr>
        <w:t>应在研究时限届满前</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向药审中心申报申请延期的补充申</w:t>
      </w:r>
      <w:r>
        <w:rPr>
          <w:rFonts w:hint="eastAsia" w:ascii="Calibri" w:hAnsi="Calibri" w:eastAsia="仿宋_GB2312"/>
          <w:sz w:val="32"/>
          <w:szCs w:val="32"/>
          <w:highlight w:val="none"/>
          <w:lang w:val="en-US" w:eastAsia="zh-CN"/>
        </w:rPr>
        <w:t>请，</w:t>
      </w:r>
      <w:r>
        <w:rPr>
          <w:rFonts w:hint="eastAsia" w:ascii="Calibri" w:hAnsi="Calibri" w:eastAsia="仿宋_GB2312"/>
          <w:b w:val="0"/>
          <w:bCs w:val="0"/>
          <w:sz w:val="32"/>
          <w:szCs w:val="32"/>
          <w:highlight w:val="none"/>
          <w:u w:val="none"/>
          <w:lang w:val="en-US" w:eastAsia="zh-CN"/>
        </w:rPr>
        <w:t>审评通过的，</w:t>
      </w:r>
      <w:r>
        <w:rPr>
          <w:rFonts w:hint="eastAsia" w:eastAsia="仿宋_GB2312"/>
          <w:b w:val="0"/>
          <w:bCs w:val="0"/>
          <w:sz w:val="32"/>
          <w:szCs w:val="32"/>
          <w:highlight w:val="none"/>
          <w:u w:val="none"/>
        </w:rPr>
        <w:t>允许继续开展研究</w:t>
      </w:r>
      <w:r>
        <w:rPr>
          <w:rFonts w:hint="eastAsia" w:eastAsia="仿宋_GB2312"/>
          <w:b w:val="0"/>
          <w:bCs w:val="0"/>
          <w:sz w:val="32"/>
          <w:szCs w:val="32"/>
          <w:highlight w:val="none"/>
          <w:u w:val="none"/>
          <w:lang w:eastAsia="zh-CN"/>
        </w:rPr>
        <w:t>，并明确继续研究的完成时限。</w:t>
      </w:r>
      <w:r>
        <w:rPr>
          <w:rFonts w:hint="eastAsia" w:eastAsia="仿宋_GB2312"/>
          <w:b w:val="0"/>
          <w:bCs w:val="0"/>
          <w:sz w:val="32"/>
          <w:szCs w:val="32"/>
          <w:highlight w:val="none"/>
          <w:u w:val="none"/>
          <w:lang w:val="en-US" w:eastAsia="zh-CN"/>
        </w:rPr>
        <w:t>药品注册证书有效期保持不变</w:t>
      </w:r>
      <w:r>
        <w:rPr>
          <w:rFonts w:hint="eastAsia" w:eastAsia="仿宋_GB2312"/>
          <w:b w:val="0"/>
          <w:bCs w:val="0"/>
          <w:sz w:val="32"/>
          <w:szCs w:val="32"/>
          <w:highlight w:val="none"/>
          <w:u w:val="none"/>
          <w:lang w:eastAsia="zh-CN"/>
        </w:rPr>
        <w:t>，</w:t>
      </w:r>
      <w:r>
        <w:rPr>
          <w:rFonts w:hint="eastAsia" w:eastAsia="仿宋_GB2312"/>
          <w:b w:val="0"/>
          <w:bCs w:val="0"/>
          <w:sz w:val="32"/>
          <w:szCs w:val="32"/>
          <w:highlight w:val="none"/>
          <w:u w:val="none"/>
          <w:lang w:val="en-US" w:eastAsia="zh-CN"/>
        </w:rPr>
        <w:t>有效期届满后，持有人应当暂停销售。对于已进入流通、使用环节的药品，医疗机构在充分评估同意后，可继续用于已处于治疗疗程中的患者，或者患有严重危及生命疾病、且相关治疗领域无其他治疗手段（包括附条件批准药品）的患者。</w:t>
      </w:r>
    </w:p>
    <w:p w14:paraId="60BDD31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Calibri" w:hAnsi="Calibri" w:eastAsia="仿宋_GB2312"/>
          <w:b w:val="0"/>
          <w:bCs w:val="0"/>
          <w:sz w:val="32"/>
          <w:szCs w:val="32"/>
          <w:highlight w:val="none"/>
          <w:u w:val="none"/>
          <w:lang w:eastAsia="zh-CN"/>
        </w:rPr>
      </w:pPr>
      <w:r>
        <w:rPr>
          <w:rFonts w:hint="eastAsia" w:ascii="Times New Roman" w:hAnsi="Times New Roman" w:eastAsia="仿宋_GB2312"/>
          <w:sz w:val="32"/>
          <w:szCs w:val="32"/>
          <w:highlight w:val="none"/>
          <w:lang w:val="en-US" w:eastAsia="zh-CN"/>
        </w:rPr>
        <w:t>申请延期的</w:t>
      </w:r>
      <w:r>
        <w:rPr>
          <w:rFonts w:hint="eastAsia" w:ascii="Calibri" w:hAnsi="Calibri" w:eastAsia="仿宋_GB2312" w:cs="Times New Roman"/>
          <w:b w:val="0"/>
          <w:bCs w:val="0"/>
          <w:kern w:val="2"/>
          <w:sz w:val="32"/>
          <w:szCs w:val="32"/>
          <w:highlight w:val="none"/>
          <w:u w:val="none"/>
          <w:lang w:bidi="ar"/>
        </w:rPr>
        <w:t>补充申请原则上不超过一次</w:t>
      </w:r>
      <w:r>
        <w:rPr>
          <w:rFonts w:hint="eastAsia" w:eastAsia="仿宋_GB2312" w:cs="Times New Roman"/>
          <w:b w:val="0"/>
          <w:bCs w:val="0"/>
          <w:kern w:val="2"/>
          <w:sz w:val="32"/>
          <w:szCs w:val="32"/>
          <w:highlight w:val="none"/>
          <w:u w:val="none"/>
          <w:lang w:eastAsia="zh-CN" w:bidi="ar"/>
        </w:rPr>
        <w:t>。</w:t>
      </w:r>
      <w:r>
        <w:rPr>
          <w:rFonts w:hint="eastAsia" w:ascii="仿宋_GB2312" w:hAnsi="仿宋_GB2312" w:eastAsia="仿宋_GB2312" w:cs="仿宋_GB2312"/>
          <w:color w:val="000000"/>
          <w:sz w:val="32"/>
          <w:szCs w:val="32"/>
          <w:lang w:eastAsia="zh-CN"/>
        </w:rPr>
        <w:t>对疫情防控急需的疫苗，若因疫情变化而无法按期完成所附条件临床试验，在仍无有效防控疫苗上市的情况下，允许延期。</w:t>
      </w:r>
    </w:p>
    <w:p w14:paraId="52FB1D9B">
      <w:pPr>
        <w:keepNext w:val="0"/>
        <w:keepLines w:val="0"/>
        <w:pageBreakBefore w:val="0"/>
        <w:widowControl w:val="0"/>
        <w:kinsoku/>
        <w:wordWrap/>
        <w:overflowPunct w:val="0"/>
        <w:topLinePunct w:val="0"/>
        <w:autoSpaceDE/>
        <w:autoSpaceDN/>
        <w:bidi w:val="0"/>
        <w:spacing w:line="560" w:lineRule="exact"/>
        <w:ind w:firstLine="616" w:firstLineChars="200"/>
        <w:jc w:val="both"/>
        <w:textAlignment w:val="auto"/>
        <w:rPr>
          <w:rFonts w:eastAsia="楷体_GB2312"/>
          <w:spacing w:val="-6"/>
          <w:sz w:val="32"/>
          <w:szCs w:val="32"/>
          <w:highlight w:val="none"/>
        </w:rPr>
      </w:pPr>
      <w:r>
        <w:rPr>
          <w:rFonts w:eastAsia="楷体_GB2312"/>
          <w:spacing w:val="-6"/>
          <w:sz w:val="32"/>
          <w:szCs w:val="32"/>
          <w:highlight w:val="none"/>
        </w:rPr>
        <w:t>（六）常规批准</w:t>
      </w:r>
    </w:p>
    <w:p w14:paraId="2B3DA0A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ascii="Times New Roman" w:hAnsi="Times New Roman" w:eastAsia="仿宋_GB2312"/>
          <w:sz w:val="32"/>
          <w:szCs w:val="32"/>
          <w:highlight w:val="none"/>
        </w:rPr>
        <w:t>在研究时限届满前，药品上市许可持有人应当及时申报补充申请</w:t>
      </w:r>
      <w:r>
        <w:rPr>
          <w:rFonts w:hint="eastAsia" w:eastAsia="仿宋_GB2312"/>
          <w:sz w:val="32"/>
          <w:szCs w:val="32"/>
          <w:highlight w:val="none"/>
        </w:rPr>
        <w:t>。</w:t>
      </w:r>
      <w:r>
        <w:rPr>
          <w:rFonts w:eastAsia="仿宋_GB2312"/>
          <w:sz w:val="32"/>
          <w:highlight w:val="none"/>
        </w:rPr>
        <w:t>药品上市许可持有人提交的</w:t>
      </w:r>
      <w:r>
        <w:rPr>
          <w:rFonts w:hint="eastAsia" w:eastAsia="仿宋_GB2312"/>
          <w:sz w:val="32"/>
          <w:highlight w:val="none"/>
        </w:rPr>
        <w:t>确证性</w:t>
      </w:r>
      <w:r>
        <w:rPr>
          <w:rFonts w:eastAsia="仿宋_GB2312"/>
          <w:sz w:val="32"/>
          <w:highlight w:val="none"/>
        </w:rPr>
        <w:t>研究证明其获益大于风险，审评通过的，</w:t>
      </w:r>
      <w:r>
        <w:rPr>
          <w:rFonts w:ascii="Times New Roman" w:hAnsi="Times New Roman" w:eastAsia="仿宋_GB2312"/>
          <w:sz w:val="32"/>
          <w:szCs w:val="32"/>
          <w:highlight w:val="none"/>
        </w:rPr>
        <w:t>发给补充申请批准通知书</w:t>
      </w:r>
      <w:r>
        <w:rPr>
          <w:rFonts w:eastAsia="仿宋_GB2312"/>
          <w:sz w:val="32"/>
          <w:highlight w:val="none"/>
        </w:rPr>
        <w:t>，</w:t>
      </w:r>
      <w:r>
        <w:rPr>
          <w:rFonts w:hint="eastAsia" w:eastAsia="仿宋_GB2312"/>
          <w:sz w:val="32"/>
          <w:highlight w:val="none"/>
        </w:rPr>
        <w:t>调整</w:t>
      </w:r>
      <w:r>
        <w:rPr>
          <w:rFonts w:ascii="Times New Roman" w:hAnsi="Times New Roman" w:eastAsia="仿宋_GB2312"/>
          <w:sz w:val="32"/>
          <w:szCs w:val="32"/>
          <w:highlight w:val="none"/>
        </w:rPr>
        <w:t>药品注册证书有效期</w:t>
      </w:r>
      <w:r>
        <w:rPr>
          <w:rFonts w:eastAsia="仿宋_GB2312"/>
          <w:sz w:val="32"/>
          <w:highlight w:val="none"/>
        </w:rPr>
        <w:t>。</w:t>
      </w:r>
    </w:p>
    <w:p w14:paraId="54B9659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highlight w:val="none"/>
        </w:rPr>
      </w:pPr>
      <w:r>
        <w:rPr>
          <w:rFonts w:eastAsia="仿宋_GB2312"/>
          <w:sz w:val="32"/>
          <w:highlight w:val="none"/>
        </w:rPr>
        <w:t>药品上市许可持有人提交的</w:t>
      </w:r>
      <w:r>
        <w:rPr>
          <w:rFonts w:hint="eastAsia" w:eastAsia="仿宋_GB2312"/>
          <w:sz w:val="32"/>
          <w:highlight w:val="none"/>
        </w:rPr>
        <w:t>确证性</w:t>
      </w:r>
      <w:r>
        <w:rPr>
          <w:rFonts w:eastAsia="仿宋_GB2312"/>
          <w:sz w:val="32"/>
          <w:highlight w:val="none"/>
        </w:rPr>
        <w:t>研究不能证明其获益大于风险的，药审中心作出不通过的审评结论，</w:t>
      </w:r>
      <w:r>
        <w:rPr>
          <w:rFonts w:ascii="Times New Roman" w:hAnsi="Times New Roman" w:eastAsia="仿宋_GB2312"/>
          <w:sz w:val="32"/>
          <w:szCs w:val="32"/>
          <w:highlight w:val="none"/>
        </w:rPr>
        <w:t>发给补充申请不予批准通知书</w:t>
      </w:r>
      <w:r>
        <w:rPr>
          <w:rFonts w:eastAsia="仿宋_GB2312"/>
          <w:sz w:val="32"/>
          <w:highlight w:val="none"/>
        </w:rPr>
        <w:t>。</w:t>
      </w:r>
    </w:p>
    <w:p w14:paraId="5DB563C3">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highlight w:val="none"/>
          <w:lang w:val="en-US" w:eastAsia="zh-CN"/>
        </w:rPr>
      </w:pPr>
      <w:r>
        <w:rPr>
          <w:rFonts w:hint="eastAsia" w:eastAsia="仿宋_GB2312"/>
          <w:sz w:val="32"/>
          <w:highlight w:val="none"/>
          <w:lang w:val="en-US" w:eastAsia="zh-CN"/>
        </w:rPr>
        <w:t>如完成的临床研究同时可支持新增适应症，持有人可提出新增适应症上市申请，在该申请中同时提出附条件批准的适应症转为常规批准。</w:t>
      </w:r>
    </w:p>
    <w:p w14:paraId="4D22EF70">
      <w:pPr>
        <w:keepNext w:val="0"/>
        <w:keepLines w:val="0"/>
        <w:pageBreakBefore w:val="0"/>
        <w:widowControl w:val="0"/>
        <w:kinsoku/>
        <w:wordWrap/>
        <w:overflowPunct w:val="0"/>
        <w:topLinePunct w:val="0"/>
        <w:autoSpaceDE/>
        <w:autoSpaceDN/>
        <w:bidi w:val="0"/>
        <w:spacing w:line="560" w:lineRule="exact"/>
        <w:ind w:firstLine="616" w:firstLineChars="200"/>
        <w:jc w:val="both"/>
        <w:textAlignment w:val="auto"/>
        <w:rPr>
          <w:rFonts w:hint="default" w:eastAsia="楷体_GB2312"/>
          <w:spacing w:val="-6"/>
          <w:sz w:val="32"/>
          <w:szCs w:val="32"/>
          <w:highlight w:val="none"/>
          <w:lang w:val="en-US" w:eastAsia="zh-CN"/>
        </w:rPr>
      </w:pPr>
      <w:r>
        <w:rPr>
          <w:rFonts w:hint="default" w:eastAsia="楷体_GB2312"/>
          <w:spacing w:val="-6"/>
          <w:sz w:val="32"/>
          <w:szCs w:val="32"/>
          <w:highlight w:val="none"/>
          <w:lang w:val="en-US" w:eastAsia="zh-CN"/>
        </w:rPr>
        <w:t>（七）药品注册证书注销</w:t>
      </w:r>
    </w:p>
    <w:p w14:paraId="7F071C79">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Calibri" w:hAnsi="Calibri" w:eastAsia="仿宋_GB2312"/>
          <w:b w:val="0"/>
          <w:bCs w:val="0"/>
          <w:sz w:val="32"/>
          <w:szCs w:val="32"/>
          <w:highlight w:val="none"/>
          <w:u w:val="none"/>
          <w:lang w:eastAsia="zh-CN"/>
        </w:rPr>
      </w:pPr>
      <w:r>
        <w:rPr>
          <w:rFonts w:hint="default" w:eastAsia="仿宋_GB2312"/>
          <w:b w:val="0"/>
          <w:bCs w:val="0"/>
          <w:sz w:val="32"/>
          <w:highlight w:val="none"/>
          <w:u w:val="none"/>
          <w:lang w:val="en-US" w:eastAsia="zh-CN"/>
        </w:rPr>
        <w:t>药品注册证书</w:t>
      </w:r>
      <w:r>
        <w:rPr>
          <w:rFonts w:hint="eastAsia" w:eastAsia="仿宋_GB2312"/>
          <w:b w:val="0"/>
          <w:bCs w:val="0"/>
          <w:sz w:val="32"/>
          <w:highlight w:val="none"/>
          <w:u w:val="none"/>
          <w:lang w:val="en-US" w:eastAsia="zh-CN"/>
        </w:rPr>
        <w:t>有效期届满且不予批准延期研究的，或者延期后的研究时限届满时</w:t>
      </w:r>
      <w:r>
        <w:rPr>
          <w:rFonts w:hint="default" w:eastAsia="仿宋_GB2312"/>
          <w:b w:val="0"/>
          <w:bCs w:val="0"/>
          <w:sz w:val="32"/>
          <w:highlight w:val="none"/>
          <w:u w:val="none"/>
          <w:lang w:val="en-US" w:eastAsia="zh-CN"/>
        </w:rPr>
        <w:t>，</w:t>
      </w:r>
      <w:r>
        <w:rPr>
          <w:rFonts w:eastAsia="仿宋_GB2312"/>
          <w:sz w:val="32"/>
          <w:highlight w:val="none"/>
        </w:rPr>
        <w:t>持有人未按要求提交</w:t>
      </w:r>
      <w:r>
        <w:rPr>
          <w:rFonts w:hint="default" w:eastAsia="仿宋_GB2312"/>
          <w:sz w:val="32"/>
          <w:highlight w:val="none"/>
          <w:lang w:val="en-US" w:eastAsia="zh-CN"/>
        </w:rPr>
        <w:t>转为常规批准的注册申请</w:t>
      </w:r>
      <w:r>
        <w:rPr>
          <w:rFonts w:eastAsia="仿宋_GB2312"/>
          <w:sz w:val="32"/>
          <w:highlight w:val="none"/>
        </w:rPr>
        <w:t>的</w:t>
      </w:r>
      <w:r>
        <w:rPr>
          <w:rFonts w:hint="eastAsia" w:ascii="Calibri" w:hAnsi="Calibri" w:eastAsia="仿宋_GB2312"/>
          <w:b w:val="0"/>
          <w:bCs w:val="0"/>
          <w:sz w:val="32"/>
          <w:szCs w:val="32"/>
          <w:highlight w:val="none"/>
          <w:u w:val="none"/>
          <w:lang w:eastAsia="zh-CN"/>
        </w:rPr>
        <w:t>，国家药品监督管理局按程序注销药品注册证书。</w:t>
      </w:r>
    </w:p>
    <w:p w14:paraId="14405D58">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hint="eastAsia" w:eastAsia="仿宋_GB2312"/>
          <w:sz w:val="32"/>
          <w:highlight w:val="none"/>
          <w:lang w:val="en-US" w:eastAsia="zh-CN"/>
        </w:rPr>
        <w:t>持有人提交的确证性研究资料审评不通过的，</w:t>
      </w:r>
      <w:r>
        <w:rPr>
          <w:rFonts w:eastAsia="仿宋_GB2312"/>
          <w:sz w:val="32"/>
          <w:highlight w:val="none"/>
        </w:rPr>
        <w:t>国家药品监督管理局</w:t>
      </w:r>
      <w:r>
        <w:rPr>
          <w:rFonts w:hint="eastAsia" w:eastAsia="仿宋_GB2312"/>
          <w:sz w:val="32"/>
          <w:highlight w:val="none"/>
          <w:lang w:val="en-US" w:eastAsia="zh-CN"/>
        </w:rPr>
        <w:t>按程序注销</w:t>
      </w:r>
      <w:r>
        <w:rPr>
          <w:rFonts w:eastAsia="仿宋_GB2312"/>
          <w:sz w:val="32"/>
          <w:highlight w:val="none"/>
        </w:rPr>
        <w:t>其药品注册证书。</w:t>
      </w:r>
    </w:p>
    <w:p w14:paraId="6601DA65">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hint="eastAsia" w:ascii="Times New Roman" w:hAnsi="Times New Roman" w:eastAsia="仿宋_GB2312"/>
          <w:sz w:val="32"/>
          <w:szCs w:val="32"/>
          <w:highlight w:val="none"/>
        </w:rPr>
        <w:t>如</w:t>
      </w:r>
      <w:r>
        <w:rPr>
          <w:rFonts w:ascii="Times New Roman" w:hAnsi="Times New Roman" w:eastAsia="仿宋_GB2312"/>
          <w:sz w:val="32"/>
          <w:szCs w:val="32"/>
          <w:highlight w:val="none"/>
        </w:rPr>
        <w:t>持有人</w:t>
      </w:r>
      <w:r>
        <w:rPr>
          <w:rFonts w:hint="eastAsia" w:ascii="Times New Roman" w:hAnsi="Times New Roman" w:eastAsia="仿宋_GB2312"/>
          <w:sz w:val="32"/>
          <w:szCs w:val="32"/>
          <w:highlight w:val="none"/>
          <w:lang w:val="en-US" w:eastAsia="zh-CN"/>
        </w:rPr>
        <w:t>终</w:t>
      </w:r>
      <w:r>
        <w:rPr>
          <w:rFonts w:hint="eastAsia" w:ascii="Times New Roman" w:hAnsi="Times New Roman" w:eastAsia="仿宋_GB2312"/>
          <w:sz w:val="32"/>
          <w:szCs w:val="32"/>
          <w:highlight w:val="none"/>
        </w:rPr>
        <w:t>止/完成</w:t>
      </w:r>
      <w:r>
        <w:rPr>
          <w:rFonts w:hint="eastAsia" w:eastAsia="仿宋_GB2312"/>
          <w:sz w:val="32"/>
          <w:highlight w:val="none"/>
          <w:lang w:val="en-US" w:eastAsia="zh-CN"/>
        </w:rPr>
        <w:t>所附条件研究</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自行评估</w:t>
      </w:r>
      <w:r>
        <w:rPr>
          <w:rFonts w:hint="eastAsia" w:eastAsia="仿宋_GB2312"/>
          <w:sz w:val="32"/>
          <w:szCs w:val="32"/>
          <w:highlight w:val="none"/>
        </w:rPr>
        <w:t>其研究结果</w:t>
      </w:r>
      <w:r>
        <w:rPr>
          <w:rFonts w:ascii="Times New Roman" w:hAnsi="Times New Roman" w:eastAsia="仿宋_GB2312"/>
          <w:sz w:val="32"/>
          <w:szCs w:val="32"/>
          <w:highlight w:val="none"/>
        </w:rPr>
        <w:t>无法确证</w:t>
      </w:r>
      <w:r>
        <w:rPr>
          <w:rFonts w:hint="eastAsia" w:eastAsia="仿宋_GB2312"/>
          <w:sz w:val="32"/>
          <w:szCs w:val="32"/>
          <w:highlight w:val="none"/>
        </w:rPr>
        <w:t>药品</w:t>
      </w:r>
      <w:r>
        <w:rPr>
          <w:rFonts w:ascii="Times New Roman" w:hAnsi="Times New Roman" w:eastAsia="仿宋_GB2312"/>
          <w:sz w:val="32"/>
          <w:szCs w:val="32"/>
          <w:highlight w:val="none"/>
        </w:rPr>
        <w:t>安全有效性的，应</w:t>
      </w:r>
      <w:r>
        <w:rPr>
          <w:rFonts w:hint="eastAsia" w:ascii="Times New Roman" w:hAnsi="Times New Roman" w:eastAsia="仿宋_GB2312"/>
          <w:sz w:val="32"/>
          <w:szCs w:val="32"/>
          <w:highlight w:val="none"/>
        </w:rPr>
        <w:t>立即</w:t>
      </w:r>
      <w:r>
        <w:rPr>
          <w:rFonts w:ascii="Times New Roman" w:hAnsi="Times New Roman" w:eastAsia="仿宋_GB2312"/>
          <w:sz w:val="32"/>
          <w:szCs w:val="32"/>
          <w:highlight w:val="none"/>
        </w:rPr>
        <w:t>主动停止</w:t>
      </w:r>
      <w:r>
        <w:rPr>
          <w:rFonts w:hint="eastAsia" w:ascii="Times New Roman" w:hAnsi="Times New Roman" w:eastAsia="仿宋_GB2312"/>
          <w:sz w:val="32"/>
          <w:szCs w:val="32"/>
          <w:highlight w:val="none"/>
        </w:rPr>
        <w:t>相关适应症的药品</w:t>
      </w:r>
      <w:r>
        <w:rPr>
          <w:rFonts w:ascii="Times New Roman" w:hAnsi="Times New Roman" w:eastAsia="仿宋_GB2312"/>
          <w:sz w:val="32"/>
          <w:szCs w:val="32"/>
          <w:highlight w:val="none"/>
        </w:rPr>
        <w:t>销售</w:t>
      </w:r>
      <w:r>
        <w:rPr>
          <w:rFonts w:hint="eastAsia" w:ascii="Times New Roman" w:hAnsi="Times New Roman" w:eastAsia="仿宋_GB2312"/>
          <w:sz w:val="32"/>
          <w:szCs w:val="32"/>
          <w:highlight w:val="none"/>
        </w:rPr>
        <w:t>，及时将研究结果上报药审中心、申请注销药品注册证书</w:t>
      </w:r>
      <w:r>
        <w:rPr>
          <w:rFonts w:ascii="Times New Roman" w:hAnsi="Times New Roman" w:eastAsia="仿宋_GB2312"/>
          <w:sz w:val="32"/>
          <w:szCs w:val="32"/>
          <w:highlight w:val="none"/>
        </w:rPr>
        <w:t>。</w:t>
      </w:r>
    </w:p>
    <w:p w14:paraId="5B73822F">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highlight w:val="none"/>
        </w:rPr>
      </w:pPr>
      <w:r>
        <w:rPr>
          <w:rFonts w:hint="eastAsia" w:eastAsia="仿宋_GB2312"/>
          <w:sz w:val="32"/>
          <w:highlight w:val="none"/>
          <w:lang w:val="en-US" w:eastAsia="zh-CN"/>
        </w:rPr>
        <w:t>所附条件研究期间，</w:t>
      </w:r>
      <w:r>
        <w:rPr>
          <w:rFonts w:hint="eastAsia" w:eastAsia="仿宋_GB2312"/>
          <w:sz w:val="32"/>
          <w:highlight w:val="none"/>
        </w:rPr>
        <w:t>如药审中心监测到并确认确证性研究不能证明获益大于风险的，</w:t>
      </w:r>
      <w:r>
        <w:rPr>
          <w:rFonts w:eastAsia="仿宋_GB2312"/>
          <w:sz w:val="32"/>
          <w:highlight w:val="none"/>
        </w:rPr>
        <w:t>国家药品监督管理局</w:t>
      </w:r>
      <w:r>
        <w:rPr>
          <w:rFonts w:hint="eastAsia" w:eastAsia="仿宋_GB2312"/>
          <w:sz w:val="32"/>
          <w:highlight w:val="none"/>
        </w:rPr>
        <w:t>可以主动按程序注销</w:t>
      </w:r>
      <w:r>
        <w:rPr>
          <w:rFonts w:hint="eastAsia" w:eastAsia="仿宋_GB2312"/>
          <w:sz w:val="32"/>
          <w:highlight w:val="none"/>
          <w:lang w:eastAsia="zh-CN"/>
        </w:rPr>
        <w:t>相应适应症的</w:t>
      </w:r>
      <w:r>
        <w:rPr>
          <w:rFonts w:hint="eastAsia" w:eastAsia="仿宋_GB2312"/>
          <w:sz w:val="32"/>
          <w:highlight w:val="none"/>
        </w:rPr>
        <w:t>药品注册证书。</w:t>
      </w:r>
    </w:p>
    <w:p w14:paraId="574E9482">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highlight w:val="none"/>
        </w:rPr>
      </w:pPr>
      <w:r>
        <w:rPr>
          <w:rFonts w:eastAsia="黑体"/>
          <w:sz w:val="32"/>
          <w:szCs w:val="32"/>
          <w:highlight w:val="none"/>
        </w:rPr>
        <w:t>三、工作要求</w:t>
      </w:r>
    </w:p>
    <w:p w14:paraId="42AD5BD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仿宋_GB2312"/>
          <w:sz w:val="32"/>
          <w:szCs w:val="32"/>
          <w:highlight w:val="none"/>
        </w:rPr>
        <w:t>（一）附条件批准上市申请过程中的沟通交流，依据《药物研发与技术审评沟通交流管理办法》等相关规定执行。</w:t>
      </w:r>
      <w:r>
        <w:rPr>
          <w:rFonts w:hint="eastAsia" w:eastAsia="仿宋_GB2312"/>
          <w:sz w:val="32"/>
          <w:szCs w:val="32"/>
          <w:highlight w:val="none"/>
        </w:rPr>
        <w:t>药品附条件批准上市后，所附条件研究期间</w:t>
      </w:r>
      <w:r>
        <w:rPr>
          <w:rFonts w:eastAsia="仿宋_GB2312"/>
          <w:sz w:val="32"/>
          <w:szCs w:val="32"/>
          <w:highlight w:val="none"/>
        </w:rPr>
        <w:t>的沟通交流</w:t>
      </w:r>
      <w:r>
        <w:rPr>
          <w:rFonts w:hint="eastAsia" w:eastAsia="仿宋_GB2312"/>
          <w:sz w:val="32"/>
          <w:szCs w:val="32"/>
          <w:highlight w:val="none"/>
        </w:rPr>
        <w:t>，可参照</w:t>
      </w:r>
      <w:r>
        <w:rPr>
          <w:rFonts w:eastAsia="仿宋_GB2312"/>
          <w:sz w:val="32"/>
          <w:szCs w:val="32"/>
          <w:highlight w:val="none"/>
        </w:rPr>
        <w:t>《药物研发与技术审评沟通交流管理办法》</w:t>
      </w:r>
      <w:r>
        <w:rPr>
          <w:rFonts w:hint="eastAsia" w:eastAsia="仿宋_GB2312"/>
          <w:sz w:val="32"/>
          <w:szCs w:val="32"/>
          <w:highlight w:val="none"/>
        </w:rPr>
        <w:t>执行（</w:t>
      </w:r>
      <w:r>
        <w:rPr>
          <w:rFonts w:hint="eastAsia" w:ascii="仿宋" w:hAnsi="仿宋" w:eastAsia="仿宋"/>
          <w:sz w:val="32"/>
          <w:szCs w:val="32"/>
          <w:highlight w:val="none"/>
        </w:rPr>
        <w:t>Ⅱ</w:t>
      </w:r>
      <w:r>
        <w:rPr>
          <w:rFonts w:hint="eastAsia" w:eastAsia="仿宋_GB2312"/>
          <w:sz w:val="32"/>
          <w:szCs w:val="32"/>
          <w:highlight w:val="none"/>
        </w:rPr>
        <w:t>类会议）。</w:t>
      </w:r>
    </w:p>
    <w:p w14:paraId="5AE25DD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仿宋_GB2312"/>
          <w:sz w:val="32"/>
          <w:szCs w:val="32"/>
          <w:highlight w:val="none"/>
        </w:rPr>
        <w:t>（二）申请人在提交附条件批准上市申请前，申报材料应当符合相关的技术指导原则及受理要求，并做好接受药品注册核查、检验的准备工作。</w:t>
      </w:r>
    </w:p>
    <w:p w14:paraId="17C10F6A">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default" w:eastAsia="仿宋_GB2312"/>
          <w:sz w:val="32"/>
          <w:szCs w:val="32"/>
          <w:highlight w:val="none"/>
          <w:lang w:val="en-US" w:eastAsia="zh-CN"/>
        </w:rPr>
      </w:pPr>
      <w:r>
        <w:rPr>
          <w:rFonts w:eastAsia="仿宋_GB2312"/>
          <w:sz w:val="32"/>
          <w:szCs w:val="32"/>
          <w:highlight w:val="none"/>
        </w:rPr>
        <w:t>（三）附条件批准上市审评审批的具体技术要求参照《药品附条件批准上市技术指导原则》等执行。</w:t>
      </w:r>
      <w:r>
        <w:rPr>
          <w:rFonts w:hint="eastAsia" w:eastAsia="仿宋_GB2312"/>
          <w:sz w:val="32"/>
          <w:szCs w:val="32"/>
          <w:highlight w:val="none"/>
          <w:lang w:eastAsia="zh-CN"/>
        </w:rPr>
        <w:t>在审评（包括对上市后研究的评价）过程中可以就重大问题听取专家意见，充分发挥专家的技术支撑作用。</w:t>
      </w:r>
    </w:p>
    <w:p w14:paraId="547DC39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eastAsia="仿宋_GB2312"/>
          <w:sz w:val="32"/>
          <w:szCs w:val="32"/>
          <w:highlight w:val="none"/>
        </w:rPr>
        <w:t>（四）药品附条件上市期间，如持有人完成</w:t>
      </w:r>
      <w:r>
        <w:rPr>
          <w:rFonts w:hint="eastAsia" w:eastAsia="仿宋_GB2312"/>
          <w:sz w:val="32"/>
          <w:szCs w:val="32"/>
          <w:highlight w:val="none"/>
          <w:lang w:eastAsia="zh-CN"/>
        </w:rPr>
        <w:t>所附条件</w:t>
      </w:r>
      <w:r>
        <w:rPr>
          <w:rFonts w:hint="eastAsia" w:eastAsia="仿宋_GB2312"/>
          <w:sz w:val="32"/>
          <w:szCs w:val="32"/>
          <w:highlight w:val="none"/>
        </w:rPr>
        <w:t>研究的时间远早于原定时限，应当在获得研究结果后尽快与药审中心沟通交流，重新确定补充申请递交时间。</w:t>
      </w:r>
    </w:p>
    <w:p w14:paraId="0AEFA7CB">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eastAsia="仿宋_GB2312"/>
          <w:sz w:val="32"/>
          <w:szCs w:val="32"/>
          <w:highlight w:val="none"/>
        </w:rPr>
        <w:t>（五）</w:t>
      </w:r>
      <w:r>
        <w:rPr>
          <w:rFonts w:ascii="Times New Roman" w:hAnsi="Times New Roman" w:eastAsia="仿宋_GB2312"/>
          <w:sz w:val="32"/>
          <w:szCs w:val="32"/>
          <w:highlight w:val="none"/>
        </w:rPr>
        <w:t>附条件批准上市的药品，在其转为常规批准之前，</w:t>
      </w:r>
      <w:r>
        <w:rPr>
          <w:rFonts w:hint="eastAsia" w:eastAsia="仿宋_GB2312"/>
          <w:sz w:val="32"/>
          <w:szCs w:val="32"/>
          <w:highlight w:val="none"/>
        </w:rPr>
        <w:t>原则上，</w:t>
      </w:r>
      <w:r>
        <w:rPr>
          <w:rFonts w:ascii="Times New Roman" w:hAnsi="Times New Roman" w:eastAsia="仿宋_GB2312"/>
          <w:sz w:val="32"/>
          <w:szCs w:val="32"/>
          <w:highlight w:val="none"/>
        </w:rPr>
        <w:t>该品种不发布为参比制剂。</w:t>
      </w:r>
      <w:r>
        <w:rPr>
          <w:rFonts w:hint="default" w:eastAsia="仿宋_GB2312"/>
          <w:sz w:val="32"/>
          <w:szCs w:val="32"/>
          <w:highlight w:val="none"/>
          <w:lang w:val="en-US" w:eastAsia="zh-CN"/>
        </w:rPr>
        <w:t>如仿制药</w:t>
      </w:r>
      <w:r>
        <w:rPr>
          <w:rFonts w:hint="eastAsia" w:eastAsia="仿宋_GB2312"/>
          <w:sz w:val="32"/>
          <w:szCs w:val="32"/>
          <w:highlight w:val="none"/>
          <w:lang w:val="en-US" w:eastAsia="zh-CN"/>
        </w:rPr>
        <w:t>/生物类似药</w:t>
      </w:r>
      <w:r>
        <w:rPr>
          <w:rFonts w:hint="default" w:eastAsia="仿宋_GB2312"/>
          <w:sz w:val="32"/>
          <w:szCs w:val="32"/>
          <w:highlight w:val="none"/>
          <w:lang w:val="en-US" w:eastAsia="zh-CN"/>
        </w:rPr>
        <w:t>申请人能够自行开展确证性研究</w:t>
      </w:r>
      <w:r>
        <w:rPr>
          <w:rFonts w:hint="eastAsia" w:eastAsia="仿宋_GB2312"/>
          <w:sz w:val="32"/>
          <w:szCs w:val="32"/>
          <w:highlight w:val="none"/>
          <w:lang w:val="en-US" w:eastAsia="zh-CN"/>
        </w:rPr>
        <w:t>、不依赖原研药品的研究数据</w:t>
      </w:r>
      <w:r>
        <w:rPr>
          <w:rFonts w:hint="default" w:eastAsia="仿宋_GB2312"/>
          <w:sz w:val="32"/>
          <w:szCs w:val="32"/>
          <w:highlight w:val="none"/>
          <w:lang w:val="en-US" w:eastAsia="zh-CN"/>
        </w:rPr>
        <w:t>，可直接申报上市</w:t>
      </w:r>
      <w:r>
        <w:rPr>
          <w:rFonts w:hint="eastAsia" w:eastAsia="仿宋_GB2312"/>
          <w:sz w:val="32"/>
          <w:szCs w:val="32"/>
          <w:highlight w:val="none"/>
          <w:lang w:val="en-US" w:eastAsia="zh-CN"/>
        </w:rPr>
        <w:t>。</w:t>
      </w:r>
    </w:p>
    <w:p w14:paraId="143C5D7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eastAsia="仿宋_GB2312"/>
          <w:sz w:val="32"/>
          <w:szCs w:val="32"/>
          <w:highlight w:val="none"/>
        </w:rPr>
        <w:t>（六）</w:t>
      </w:r>
      <w:r>
        <w:rPr>
          <w:rFonts w:ascii="Times New Roman" w:hAnsi="Times New Roman" w:eastAsia="仿宋_GB2312"/>
          <w:sz w:val="32"/>
          <w:szCs w:val="32"/>
          <w:highlight w:val="none"/>
        </w:rPr>
        <w:t>对于附条件批准上市的品种/适应症，</w:t>
      </w:r>
      <w:r>
        <w:rPr>
          <w:rFonts w:hint="eastAsia" w:eastAsia="仿宋_GB2312"/>
          <w:sz w:val="32"/>
          <w:szCs w:val="32"/>
          <w:highlight w:val="none"/>
        </w:rPr>
        <w:t>完成所附条件研究并转为常规批准后，方可开展再注册工作</w:t>
      </w:r>
      <w:r>
        <w:rPr>
          <w:rFonts w:ascii="Times New Roman" w:hAnsi="Times New Roman" w:eastAsia="仿宋_GB2312"/>
          <w:sz w:val="32"/>
          <w:szCs w:val="32"/>
          <w:highlight w:val="none"/>
        </w:rPr>
        <w:t>。</w:t>
      </w:r>
    </w:p>
    <w:p w14:paraId="5B14EEE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szCs w:val="32"/>
          <w:highlight w:val="none"/>
        </w:rPr>
      </w:pPr>
      <w:r>
        <w:rPr>
          <w:rFonts w:hint="eastAsia" w:eastAsia="仿宋_GB2312"/>
          <w:sz w:val="32"/>
          <w:szCs w:val="32"/>
          <w:highlight w:val="none"/>
        </w:rPr>
        <w:t>（七）药品附条件批准上市后，药品名称、持有人、附条件批准的适应症、所附条件研究完成时限等相关状态信息向社会公开并及时更新。</w:t>
      </w:r>
    </w:p>
    <w:p w14:paraId="6A9A9F7C">
      <w:pPr>
        <w:keepNext w:val="0"/>
        <w:keepLines w:val="0"/>
        <w:pageBreakBefore w:val="0"/>
        <w:widowControl w:val="0"/>
        <w:numPr>
          <w:ilvl w:val="0"/>
          <w:numId w:val="0"/>
        </w:numPr>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八）附条件批准上市的药品，拟发生持有人变更的，受让方应当充分评估药品安全有效性研究情况，确保前期研究完整转移，确保后续按期完成确证研究。受让方在提交持有人变更申请前，应就研究进展、下一步研究计划等与药审中心进行沟通交流，沟通交流同意的，方可提出持有人变更申请。</w:t>
      </w:r>
    </w:p>
    <w:p w14:paraId="45EB4693">
      <w:pPr>
        <w:keepNext w:val="0"/>
        <w:keepLines w:val="0"/>
        <w:pageBreakBefore w:val="0"/>
        <w:widowControl w:val="0"/>
        <w:numPr>
          <w:ilvl w:val="0"/>
          <w:numId w:val="0"/>
        </w:numPr>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（九）应对重大突发公共卫生事件急需的药品和疫苗等特殊产品，其上市后研究及管理要求可参照本程序，同时结合不可抗力、医疗实践、临床需求等客观情况综合研判考虑。</w:t>
      </w:r>
    </w:p>
    <w:p w14:paraId="2843436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eastAsia="仿宋_GB2312"/>
          <w:sz w:val="32"/>
          <w:szCs w:val="32"/>
          <w:highlight w:val="none"/>
        </w:rPr>
        <w:t>本工作程序自发布之日起施行。</w:t>
      </w:r>
    </w:p>
    <w:p w14:paraId="41570784">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bookmarkStart w:id="0" w:name="_GoBack"/>
      <w:bookmarkEnd w:id="0"/>
    </w:p>
    <w:p w14:paraId="3B2129F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Calibri" w:eastAsia="仿宋_GB2312"/>
          <w:sz w:val="32"/>
          <w:szCs w:val="32"/>
          <w:highlight w:val="none"/>
        </w:rPr>
      </w:pPr>
      <w:r>
        <w:rPr>
          <w:rFonts w:eastAsia="仿宋_GB2312"/>
          <w:sz w:val="32"/>
          <w:szCs w:val="32"/>
          <w:highlight w:val="none"/>
        </w:rPr>
        <w:t>附：</w:t>
      </w:r>
      <w:r>
        <w:rPr>
          <w:rFonts w:hint="eastAsia" w:eastAsia="仿宋_GB2312"/>
          <w:sz w:val="32"/>
          <w:szCs w:val="32"/>
          <w:highlight w:val="none"/>
        </w:rPr>
        <w:t>1.</w:t>
      </w:r>
      <w:r>
        <w:rPr>
          <w:rFonts w:hint="eastAsia" w:ascii="Calibri" w:eastAsia="仿宋_GB2312"/>
          <w:sz w:val="32"/>
          <w:szCs w:val="32"/>
          <w:highlight w:val="none"/>
        </w:rPr>
        <w:t>药品附条件批准上市申请表</w:t>
      </w:r>
    </w:p>
    <w:p w14:paraId="51CD0113">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hint="eastAsia" w:eastAsia="仿宋_GB2312"/>
          <w:sz w:val="32"/>
          <w:szCs w:val="32"/>
          <w:highlight w:val="none"/>
        </w:rPr>
        <w:t xml:space="preserve"> </w:t>
      </w:r>
      <w:r>
        <w:rPr>
          <w:rFonts w:hint="eastAsia" w:eastAsia="仿宋_GB2312"/>
          <w:sz w:val="32"/>
          <w:szCs w:val="32"/>
          <w:highlight w:val="none"/>
          <w:lang w:val="en-US" w:eastAsia="zh-CN"/>
        </w:rPr>
        <w:t xml:space="preserve">   </w:t>
      </w:r>
      <w:r>
        <w:rPr>
          <w:rFonts w:hint="eastAsia" w:eastAsia="仿宋_GB2312"/>
          <w:sz w:val="32"/>
          <w:szCs w:val="32"/>
          <w:highlight w:val="none"/>
        </w:rPr>
        <w:t>2.附条件批准药品提交所附条件研究资料补充申请的申报资料要求</w:t>
      </w:r>
    </w:p>
    <w:p w14:paraId="547BE35F">
      <w:pPr>
        <w:spacing w:line="560" w:lineRule="exact"/>
        <w:jc w:val="left"/>
        <w:rPr>
          <w:rFonts w:hint="eastAsia" w:ascii="黑体" w:hAnsi="黑体" w:eastAsia="黑体" w:cs="黑体"/>
          <w:sz w:val="32"/>
          <w:szCs w:val="32"/>
          <w:highlight w:val="none"/>
        </w:rPr>
      </w:pPr>
      <w:r>
        <w:rPr>
          <w:rFonts w:hint="eastAsia" w:ascii="黑体" w:hAnsi="黑体" w:eastAsia="黑体"/>
          <w:sz w:val="32"/>
          <w:szCs w:val="32"/>
          <w:highlight w:val="none"/>
        </w:rPr>
        <w:br w:type="page"/>
      </w:r>
      <w:r>
        <w:rPr>
          <w:rFonts w:hint="eastAsia" w:ascii="黑体" w:hAnsi="黑体" w:eastAsia="黑体" w:cs="黑体"/>
          <w:sz w:val="32"/>
          <w:szCs w:val="32"/>
          <w:highlight w:val="none"/>
        </w:rPr>
        <w:t>附1</w:t>
      </w:r>
    </w:p>
    <w:p w14:paraId="1468EFE7">
      <w:pPr>
        <w:spacing w:line="560" w:lineRule="exact"/>
        <w:jc w:val="center"/>
        <w:rPr>
          <w:rFonts w:ascii="黑体" w:hAnsi="黑体" w:eastAsia="黑体"/>
          <w:sz w:val="32"/>
          <w:szCs w:val="32"/>
          <w:highlight w:val="none"/>
        </w:rPr>
      </w:pPr>
    </w:p>
    <w:p w14:paraId="74515BB2">
      <w:pPr>
        <w:spacing w:line="560" w:lineRule="exact"/>
        <w:jc w:val="center"/>
        <w:rPr>
          <w:rFonts w:ascii="方正小标宋简体" w:eastAsia="方正小标宋简体"/>
          <w:sz w:val="44"/>
          <w:szCs w:val="44"/>
          <w:highlight w:val="none"/>
        </w:rPr>
      </w:pPr>
      <w:r>
        <w:rPr>
          <w:rFonts w:hint="eastAsia" w:ascii="方正小标宋简体" w:eastAsia="方正小标宋简体"/>
          <w:sz w:val="44"/>
          <w:szCs w:val="44"/>
          <w:highlight w:val="none"/>
        </w:rPr>
        <w:t>药品附条件批准上市申请表</w:t>
      </w:r>
    </w:p>
    <w:p w14:paraId="0A3F5AE1">
      <w:pPr>
        <w:spacing w:line="560" w:lineRule="exact"/>
        <w:jc w:val="center"/>
        <w:rPr>
          <w:rFonts w:ascii="方正小标宋简体" w:eastAsia="方正小标宋简体"/>
          <w:sz w:val="36"/>
          <w:szCs w:val="36"/>
          <w:highlight w:val="none"/>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973"/>
        <w:gridCol w:w="154"/>
        <w:gridCol w:w="1819"/>
        <w:gridCol w:w="23"/>
        <w:gridCol w:w="1951"/>
      </w:tblGrid>
      <w:tr w14:paraId="5AF5C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noWrap w:val="0"/>
            <w:vAlign w:val="top"/>
          </w:tcPr>
          <w:p w14:paraId="488EEADA">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药品名称</w:t>
            </w:r>
          </w:p>
        </w:tc>
        <w:tc>
          <w:tcPr>
            <w:tcW w:w="5920" w:type="dxa"/>
            <w:gridSpan w:val="5"/>
            <w:noWrap w:val="0"/>
            <w:vAlign w:val="top"/>
          </w:tcPr>
          <w:p w14:paraId="16101725">
            <w:pPr>
              <w:spacing w:line="560" w:lineRule="exact"/>
              <w:jc w:val="right"/>
              <w:rPr>
                <w:rFonts w:ascii="仿宋_GB2312" w:eastAsia="仿宋_GB2312"/>
                <w:sz w:val="28"/>
                <w:szCs w:val="28"/>
                <w:highlight w:val="none"/>
              </w:rPr>
            </w:pPr>
          </w:p>
        </w:tc>
      </w:tr>
      <w:tr w14:paraId="11239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noWrap w:val="0"/>
            <w:vAlign w:val="center"/>
          </w:tcPr>
          <w:p w14:paraId="74661B45">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剂型</w:t>
            </w:r>
          </w:p>
        </w:tc>
        <w:tc>
          <w:tcPr>
            <w:tcW w:w="1973" w:type="dxa"/>
            <w:noWrap w:val="0"/>
            <w:vAlign w:val="center"/>
          </w:tcPr>
          <w:p w14:paraId="2BE01848">
            <w:pPr>
              <w:spacing w:line="560" w:lineRule="exact"/>
              <w:jc w:val="center"/>
              <w:rPr>
                <w:rFonts w:ascii="仿宋_GB2312" w:eastAsia="仿宋_GB2312"/>
                <w:sz w:val="28"/>
                <w:szCs w:val="28"/>
                <w:highlight w:val="none"/>
              </w:rPr>
            </w:pPr>
          </w:p>
        </w:tc>
        <w:tc>
          <w:tcPr>
            <w:tcW w:w="1973" w:type="dxa"/>
            <w:gridSpan w:val="2"/>
            <w:noWrap w:val="0"/>
            <w:vAlign w:val="center"/>
          </w:tcPr>
          <w:p w14:paraId="02098656">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规格</w:t>
            </w:r>
          </w:p>
        </w:tc>
        <w:tc>
          <w:tcPr>
            <w:tcW w:w="1974" w:type="dxa"/>
            <w:gridSpan w:val="2"/>
            <w:noWrap w:val="0"/>
            <w:vAlign w:val="center"/>
          </w:tcPr>
          <w:p w14:paraId="681B9E1B">
            <w:pPr>
              <w:spacing w:line="560" w:lineRule="exact"/>
              <w:jc w:val="center"/>
              <w:rPr>
                <w:rFonts w:ascii="仿宋_GB2312" w:eastAsia="仿宋_GB2312"/>
                <w:sz w:val="28"/>
                <w:szCs w:val="28"/>
                <w:highlight w:val="none"/>
              </w:rPr>
            </w:pPr>
          </w:p>
        </w:tc>
      </w:tr>
      <w:tr w14:paraId="63502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noWrap w:val="0"/>
            <w:vAlign w:val="center"/>
          </w:tcPr>
          <w:p w14:paraId="1F5F5214">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申请人</w:t>
            </w:r>
          </w:p>
        </w:tc>
        <w:tc>
          <w:tcPr>
            <w:tcW w:w="5920" w:type="dxa"/>
            <w:gridSpan w:val="5"/>
            <w:noWrap w:val="0"/>
            <w:vAlign w:val="center"/>
          </w:tcPr>
          <w:p w14:paraId="69BF6C92">
            <w:pPr>
              <w:spacing w:line="560" w:lineRule="exact"/>
              <w:jc w:val="center"/>
              <w:rPr>
                <w:rFonts w:ascii="仿宋_GB2312" w:eastAsia="仿宋_GB2312"/>
                <w:sz w:val="28"/>
                <w:szCs w:val="28"/>
                <w:highlight w:val="none"/>
              </w:rPr>
            </w:pPr>
          </w:p>
        </w:tc>
      </w:tr>
      <w:tr w14:paraId="68C5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noWrap w:val="0"/>
            <w:vAlign w:val="center"/>
          </w:tcPr>
          <w:p w14:paraId="541AE64E">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药品类型</w:t>
            </w:r>
          </w:p>
        </w:tc>
        <w:tc>
          <w:tcPr>
            <w:tcW w:w="2127" w:type="dxa"/>
            <w:gridSpan w:val="2"/>
            <w:noWrap w:val="0"/>
            <w:vAlign w:val="center"/>
          </w:tcPr>
          <w:p w14:paraId="7C9EDB20">
            <w:pPr>
              <w:spacing w:line="560" w:lineRule="exact"/>
              <w:jc w:val="center"/>
              <w:rPr>
                <w:rFonts w:ascii="仿宋_GB2312" w:eastAsia="仿宋_GB2312"/>
                <w:sz w:val="28"/>
                <w:szCs w:val="28"/>
                <w:highlight w:val="none"/>
              </w:rPr>
            </w:pPr>
          </w:p>
        </w:tc>
        <w:tc>
          <w:tcPr>
            <w:tcW w:w="1842" w:type="dxa"/>
            <w:gridSpan w:val="2"/>
            <w:noWrap w:val="0"/>
            <w:vAlign w:val="center"/>
          </w:tcPr>
          <w:p w14:paraId="1DD323BF">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注册</w:t>
            </w:r>
            <w:r>
              <w:rPr>
                <w:rFonts w:ascii="仿宋_GB2312" w:eastAsia="仿宋_GB2312"/>
                <w:sz w:val="28"/>
                <w:szCs w:val="28"/>
                <w:highlight w:val="none"/>
              </w:rPr>
              <w:t>分类</w:t>
            </w:r>
          </w:p>
        </w:tc>
        <w:tc>
          <w:tcPr>
            <w:tcW w:w="1951" w:type="dxa"/>
            <w:noWrap w:val="0"/>
            <w:vAlign w:val="center"/>
          </w:tcPr>
          <w:p w14:paraId="12B8FEFE">
            <w:pPr>
              <w:spacing w:line="560" w:lineRule="exact"/>
              <w:jc w:val="center"/>
              <w:rPr>
                <w:rFonts w:ascii="仿宋_GB2312" w:eastAsia="仿宋_GB2312"/>
                <w:sz w:val="28"/>
                <w:szCs w:val="28"/>
                <w:highlight w:val="none"/>
              </w:rPr>
            </w:pPr>
          </w:p>
        </w:tc>
      </w:tr>
      <w:tr w14:paraId="352CE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noWrap w:val="0"/>
            <w:vAlign w:val="top"/>
          </w:tcPr>
          <w:p w14:paraId="5ACAC5F3">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拟</w:t>
            </w:r>
            <w:r>
              <w:rPr>
                <w:rFonts w:ascii="仿宋_GB2312" w:eastAsia="仿宋_GB2312"/>
                <w:sz w:val="28"/>
                <w:szCs w:val="28"/>
                <w:highlight w:val="none"/>
              </w:rPr>
              <w:t>申报的</w:t>
            </w:r>
            <w:r>
              <w:rPr>
                <w:rFonts w:hint="eastAsia" w:ascii="仿宋_GB2312" w:eastAsia="仿宋_GB2312"/>
                <w:sz w:val="28"/>
                <w:szCs w:val="28"/>
                <w:highlight w:val="none"/>
              </w:rPr>
              <w:t>适应症(或者功能主治)</w:t>
            </w:r>
          </w:p>
        </w:tc>
        <w:tc>
          <w:tcPr>
            <w:tcW w:w="5920" w:type="dxa"/>
            <w:gridSpan w:val="5"/>
            <w:noWrap w:val="0"/>
            <w:vAlign w:val="top"/>
          </w:tcPr>
          <w:p w14:paraId="33371AF7">
            <w:pPr>
              <w:spacing w:line="560" w:lineRule="exact"/>
              <w:jc w:val="center"/>
              <w:rPr>
                <w:rFonts w:ascii="仿宋_GB2312" w:eastAsia="仿宋_GB2312"/>
                <w:sz w:val="28"/>
                <w:szCs w:val="28"/>
                <w:highlight w:val="none"/>
              </w:rPr>
            </w:pPr>
          </w:p>
        </w:tc>
      </w:tr>
      <w:tr w14:paraId="79BF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2376" w:type="dxa"/>
            <w:noWrap w:val="0"/>
            <w:vAlign w:val="top"/>
          </w:tcPr>
          <w:p w14:paraId="4E1F52EF">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符合附条件批准的</w:t>
            </w:r>
            <w:r>
              <w:rPr>
                <w:rFonts w:ascii="仿宋_GB2312" w:eastAsia="仿宋_GB2312"/>
                <w:sz w:val="28"/>
                <w:szCs w:val="28"/>
                <w:highlight w:val="none"/>
              </w:rPr>
              <w:t>情形</w:t>
            </w:r>
          </w:p>
        </w:tc>
        <w:tc>
          <w:tcPr>
            <w:tcW w:w="5920" w:type="dxa"/>
            <w:gridSpan w:val="5"/>
            <w:noWrap w:val="0"/>
            <w:vAlign w:val="top"/>
          </w:tcPr>
          <w:p w14:paraId="7A651B41">
            <w:pPr>
              <w:spacing w:line="560" w:lineRule="exact"/>
              <w:jc w:val="center"/>
              <w:rPr>
                <w:rFonts w:ascii="仿宋_GB2312" w:eastAsia="仿宋_GB2312"/>
                <w:sz w:val="28"/>
                <w:szCs w:val="28"/>
                <w:highlight w:val="none"/>
              </w:rPr>
            </w:pPr>
          </w:p>
        </w:tc>
      </w:tr>
      <w:tr w14:paraId="315A5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2376" w:type="dxa"/>
            <w:noWrap w:val="0"/>
            <w:vAlign w:val="top"/>
          </w:tcPr>
          <w:p w14:paraId="349DB02D">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确证性研究关键信息</w:t>
            </w:r>
          </w:p>
          <w:p w14:paraId="13C93DE2">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（已发生的按照实际时间填写，未发生的按预计时间填写）</w:t>
            </w:r>
          </w:p>
        </w:tc>
        <w:tc>
          <w:tcPr>
            <w:tcW w:w="5920" w:type="dxa"/>
            <w:gridSpan w:val="5"/>
            <w:noWrap w:val="0"/>
            <w:vAlign w:val="top"/>
          </w:tcPr>
          <w:p w14:paraId="1877B94F">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研究方案名称：</w:t>
            </w:r>
          </w:p>
          <w:p w14:paraId="6321315D">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方案定稿时间：</w:t>
            </w:r>
          </w:p>
          <w:p w14:paraId="7DE856BC">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首例受试者知情同意签署书时间：</w:t>
            </w:r>
          </w:p>
          <w:p w14:paraId="5276130D">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首例受试者首次访视时间：</w:t>
            </w:r>
          </w:p>
          <w:p w14:paraId="0E9CE4B3">
            <w:pPr>
              <w:spacing w:line="5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末例受试者末次访视时间：</w:t>
            </w:r>
          </w:p>
          <w:p w14:paraId="0048D36E">
            <w:pPr>
              <w:spacing w:line="560" w:lineRule="exact"/>
              <w:jc w:val="center"/>
              <w:rPr>
                <w:rFonts w:ascii="仿宋_GB2312" w:eastAsia="仿宋_GB2312"/>
                <w:sz w:val="28"/>
                <w:szCs w:val="28"/>
                <w:highlight w:val="none"/>
              </w:rPr>
            </w:pPr>
            <w:r>
              <w:rPr>
                <w:rFonts w:hint="eastAsia" w:ascii="仿宋_GB2312" w:eastAsia="仿宋_GB2312"/>
                <w:sz w:val="28"/>
                <w:szCs w:val="28"/>
                <w:highlight w:val="none"/>
              </w:rPr>
              <w:t>临床试验报告完成时间：</w:t>
            </w:r>
          </w:p>
        </w:tc>
      </w:tr>
    </w:tbl>
    <w:p w14:paraId="121AA13C">
      <w:pPr>
        <w:spacing w:line="560" w:lineRule="exact"/>
        <w:jc w:val="left"/>
        <w:rPr>
          <w:rFonts w:hint="eastAsia" w:ascii="黑体" w:hAnsi="黑体" w:eastAsia="黑体" w:cs="黑体"/>
          <w:sz w:val="32"/>
          <w:szCs w:val="32"/>
          <w:highlight w:val="none"/>
        </w:rPr>
      </w:pPr>
      <w:r>
        <w:rPr>
          <w:rFonts w:hint="eastAsia" w:ascii="黑体" w:hAnsi="黑体" w:eastAsia="黑体"/>
          <w:sz w:val="32"/>
          <w:szCs w:val="32"/>
          <w:highlight w:val="none"/>
        </w:rPr>
        <w:br w:type="page"/>
      </w:r>
      <w:r>
        <w:rPr>
          <w:rFonts w:hint="eastAsia" w:ascii="黑体" w:hAnsi="黑体" w:eastAsia="黑体" w:cs="黑体"/>
          <w:sz w:val="32"/>
          <w:szCs w:val="32"/>
          <w:highlight w:val="none"/>
        </w:rPr>
        <w:t>附2</w:t>
      </w:r>
    </w:p>
    <w:p w14:paraId="79BD54E6">
      <w:pPr>
        <w:adjustRightInd w:val="0"/>
        <w:snapToGrid w:val="0"/>
        <w:spacing w:line="560" w:lineRule="exact"/>
        <w:jc w:val="left"/>
        <w:rPr>
          <w:rFonts w:ascii="Times New Roman" w:hAnsi="Times New Roman" w:eastAsia="方正小标宋简体"/>
          <w:sz w:val="44"/>
          <w:szCs w:val="36"/>
          <w:highlight w:val="none"/>
        </w:rPr>
      </w:pPr>
    </w:p>
    <w:p w14:paraId="70D34CDC">
      <w:pPr>
        <w:adjustRightInd w:val="0"/>
        <w:snapToGrid w:val="0"/>
        <w:spacing w:line="560" w:lineRule="exact"/>
        <w:jc w:val="center"/>
        <w:rPr>
          <w:rFonts w:ascii="Times New Roman" w:hAnsi="Times New Roman" w:eastAsia="方正小标宋简体"/>
          <w:sz w:val="44"/>
          <w:szCs w:val="36"/>
          <w:highlight w:val="none"/>
        </w:rPr>
      </w:pPr>
      <w:r>
        <w:rPr>
          <w:rFonts w:hint="eastAsia" w:ascii="Times New Roman" w:hAnsi="Times New Roman" w:eastAsia="方正小标宋简体"/>
          <w:sz w:val="44"/>
          <w:szCs w:val="36"/>
          <w:highlight w:val="none"/>
        </w:rPr>
        <w:t>附条件批准药品提交所附条件研究资料</w:t>
      </w:r>
    </w:p>
    <w:p w14:paraId="727698A6">
      <w:pPr>
        <w:adjustRightInd w:val="0"/>
        <w:snapToGrid w:val="0"/>
        <w:spacing w:line="560" w:lineRule="exact"/>
        <w:jc w:val="center"/>
        <w:rPr>
          <w:rFonts w:ascii="Times New Roman" w:hAnsi="Times New Roman" w:eastAsia="方正小标宋简体"/>
          <w:sz w:val="44"/>
          <w:szCs w:val="36"/>
          <w:highlight w:val="none"/>
        </w:rPr>
      </w:pPr>
      <w:r>
        <w:rPr>
          <w:rFonts w:hint="eastAsia" w:ascii="Times New Roman" w:hAnsi="Times New Roman" w:eastAsia="方正小标宋简体"/>
          <w:sz w:val="44"/>
          <w:szCs w:val="36"/>
          <w:highlight w:val="none"/>
        </w:rPr>
        <w:t>补充申请的申报资料要求</w:t>
      </w:r>
    </w:p>
    <w:p w14:paraId="47719979">
      <w:pPr>
        <w:spacing w:line="560" w:lineRule="exact"/>
        <w:jc w:val="left"/>
        <w:rPr>
          <w:rFonts w:ascii="Times New Roman" w:hAnsi="Times New Roman" w:eastAsia="方正小标宋简体"/>
          <w:sz w:val="36"/>
          <w:szCs w:val="36"/>
          <w:highlight w:val="none"/>
        </w:rPr>
      </w:pPr>
    </w:p>
    <w:p w14:paraId="42103C1B">
      <w:pPr>
        <w:overflowPunct w:val="0"/>
        <w:spacing w:line="560"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根据《药品注册管理办法》相关规定，对附条件批准的药品，药品上市许可持有人（以下简称持有人）应当在规定期限内按照要求完成药物临床试验等相关研究，及时总结上市后研究情况，在研究时限届满前，按照国家</w:t>
      </w:r>
      <w:r>
        <w:rPr>
          <w:rFonts w:hint="eastAsia" w:ascii="Times New Roman" w:hAnsi="Times New Roman" w:eastAsia="仿宋_GB2312"/>
          <w:sz w:val="32"/>
          <w:szCs w:val="32"/>
          <w:highlight w:val="none"/>
        </w:rPr>
        <w:t>药监</w:t>
      </w:r>
      <w:r>
        <w:rPr>
          <w:rFonts w:ascii="Times New Roman" w:hAnsi="Times New Roman" w:eastAsia="仿宋_GB2312"/>
          <w:sz w:val="32"/>
          <w:szCs w:val="32"/>
          <w:highlight w:val="none"/>
        </w:rPr>
        <w:t>局审批的补充申请事项“其他”事项申报，并在申请表“补充申请的内容”中写明“提交所附条件的研究资料”。</w:t>
      </w:r>
    </w:p>
    <w:p w14:paraId="612204F2">
      <w:pPr>
        <w:overflowPunct w:val="0"/>
        <w:spacing w:line="560"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持有人应根据所申请事项提交相关资料，化学药品和生物制品的申报资料应根据现行版《M4：人用药物注册申请通用技术文档（CTD）》整理，中药按以下编号及顺序提交申报资料。不适用的项目可合理缺项，但应标明“不适用”并说明理由。具体资料要求如下：</w:t>
      </w:r>
    </w:p>
    <w:p w14:paraId="2F8691FB">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val="en-US" w:eastAsia="zh-CN"/>
        </w:rPr>
        <w:t>一、</w:t>
      </w:r>
      <w:r>
        <w:rPr>
          <w:rFonts w:ascii="黑体" w:hAnsi="黑体" w:eastAsia="黑体"/>
          <w:color w:val="auto"/>
          <w:sz w:val="32"/>
          <w:szCs w:val="32"/>
          <w:highlight w:val="none"/>
        </w:rPr>
        <w:t>药品批准证明文件及其附件的复印件</w:t>
      </w:r>
    </w:p>
    <w:p w14:paraId="380D54C5">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二、</w:t>
      </w:r>
      <w:r>
        <w:rPr>
          <w:rFonts w:ascii="黑体" w:hAnsi="黑体" w:eastAsia="黑体"/>
          <w:color w:val="auto"/>
          <w:sz w:val="32"/>
          <w:szCs w:val="32"/>
          <w:highlight w:val="none"/>
        </w:rPr>
        <w:t>证明性文件</w:t>
      </w:r>
    </w:p>
    <w:p w14:paraId="5AEEBFB6">
      <w:pPr>
        <w:overflowPunct w:val="0"/>
        <w:spacing w:line="56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（一）</w:t>
      </w:r>
      <w:r>
        <w:rPr>
          <w:rFonts w:ascii="Times New Roman" w:hAnsi="Times New Roman" w:eastAsia="仿宋_GB2312"/>
          <w:color w:val="auto"/>
          <w:sz w:val="32"/>
          <w:szCs w:val="32"/>
          <w:highlight w:val="none"/>
        </w:rPr>
        <w:t>境内持有人及境内生产企业的《药品生产许可证》及其变更记录页、营业执照复印件。</w:t>
      </w:r>
    </w:p>
    <w:p w14:paraId="3B24CB49">
      <w:pPr>
        <w:overflowPunct w:val="0"/>
        <w:spacing w:line="560" w:lineRule="exact"/>
        <w:ind w:firstLine="640" w:firstLineChars="200"/>
        <w:rPr>
          <w:rStyle w:val="4"/>
          <w:rFonts w:ascii="Times New Roman" w:hAnsi="Times New Roman" w:eastAsia="仿宋_GB2312"/>
          <w:color w:val="auto"/>
          <w:highlight w:val="none"/>
        </w:rPr>
      </w:pPr>
      <w:r>
        <w:rPr>
          <w:rFonts w:hint="eastAsia" w:ascii="Times New Roman" w:hAnsi="Times New Roman" w:eastAsia="仿宋_GB2312"/>
          <w:color w:val="auto"/>
          <w:sz w:val="32"/>
          <w:szCs w:val="32"/>
          <w:highlight w:val="none"/>
          <w:lang w:eastAsia="zh-CN"/>
        </w:rPr>
        <w:t>（二）</w:t>
      </w:r>
      <w:r>
        <w:rPr>
          <w:rFonts w:ascii="Times New Roman" w:hAnsi="Times New Roman" w:eastAsia="仿宋_GB2312"/>
          <w:color w:val="auto"/>
          <w:sz w:val="32"/>
          <w:szCs w:val="32"/>
          <w:highlight w:val="none"/>
        </w:rPr>
        <w:t>境外持有人指定中国境内的企业法人办理相关药品注册事项的，应当提供委托文书、公证文书及中文译本，以及注册代理机构的营业执照复印件。</w:t>
      </w:r>
    </w:p>
    <w:p w14:paraId="65250F8D">
      <w:pPr>
        <w:overflowPunct w:val="0"/>
        <w:spacing w:line="56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（三）</w:t>
      </w:r>
      <w:r>
        <w:rPr>
          <w:rFonts w:ascii="Times New Roman" w:hAnsi="Times New Roman" w:eastAsia="仿宋_GB2312"/>
          <w:color w:val="auto"/>
          <w:sz w:val="32"/>
          <w:szCs w:val="32"/>
          <w:highlight w:val="none"/>
        </w:rPr>
        <w:t>境外已上市药品提交其境外上市国家或者地区药品管理机构出具的允许药品变更证明文件、公证认证文书及中文译文。除涉及上市许可持有人、上市许可持有人注册地址、生产企业、生产地址及药品规格变更外，境外上市国家或地区药品管理机构不能出具有关证明文件的，申请人可以依据当地法律法规的规定做出说明。</w:t>
      </w:r>
    </w:p>
    <w:p w14:paraId="320A5746">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三、</w:t>
      </w:r>
      <w:r>
        <w:rPr>
          <w:rFonts w:ascii="黑体" w:hAnsi="黑体" w:eastAsia="黑体"/>
          <w:color w:val="auto"/>
          <w:sz w:val="32"/>
          <w:szCs w:val="32"/>
          <w:highlight w:val="none"/>
        </w:rPr>
        <w:t>附条件上市批件相关研究完成情况</w:t>
      </w:r>
    </w:p>
    <w:p w14:paraId="7C84C2E5">
      <w:pPr>
        <w:overflowPunct w:val="0"/>
        <w:spacing w:line="56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（一）</w:t>
      </w:r>
      <w:r>
        <w:rPr>
          <w:rFonts w:ascii="Times New Roman" w:hAnsi="Times New Roman" w:eastAsia="仿宋_GB2312"/>
          <w:color w:val="auto"/>
          <w:sz w:val="32"/>
          <w:szCs w:val="32"/>
          <w:highlight w:val="none"/>
        </w:rPr>
        <w:t>附条件上市所附条件相关研究资料，如临床综述、临床总结、临床研究报告，包括确证性临床试验以及所附条件要求的其他临床试验的完整报告、数据库光盘、相关附件等。</w:t>
      </w:r>
    </w:p>
    <w:p w14:paraId="3250A724">
      <w:pPr>
        <w:overflowPunct w:val="0"/>
        <w:spacing w:line="56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（二）</w:t>
      </w:r>
      <w:r>
        <w:rPr>
          <w:rFonts w:ascii="Times New Roman" w:hAnsi="Times New Roman" w:eastAsia="仿宋_GB2312"/>
          <w:color w:val="auto"/>
          <w:sz w:val="32"/>
          <w:szCs w:val="32"/>
          <w:highlight w:val="none"/>
        </w:rPr>
        <w:t>按照其他上市后要求完成的药学研究资料、药理毒理研究资料和临床研究资料。</w:t>
      </w:r>
    </w:p>
    <w:p w14:paraId="1081555E">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四、</w:t>
      </w:r>
      <w:r>
        <w:rPr>
          <w:rFonts w:ascii="黑体" w:hAnsi="黑体" w:eastAsia="黑体"/>
          <w:color w:val="auto"/>
          <w:sz w:val="32"/>
          <w:szCs w:val="32"/>
          <w:highlight w:val="none"/>
        </w:rPr>
        <w:t>检查检验相关信息</w:t>
      </w:r>
    </w:p>
    <w:p w14:paraId="51A0C7C6">
      <w:pPr>
        <w:overflowPunct w:val="0"/>
        <w:spacing w:line="56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包括药品研制情况信息表、药品生产情况信息表、现场主文件清单、药品注册临床试验研究信息表、临床试验信息表以及检验报告。</w:t>
      </w:r>
    </w:p>
    <w:p w14:paraId="4D2A505E">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五、</w:t>
      </w:r>
      <w:r>
        <w:rPr>
          <w:rFonts w:ascii="黑体" w:hAnsi="黑体" w:eastAsia="黑体"/>
          <w:color w:val="auto"/>
          <w:sz w:val="32"/>
          <w:szCs w:val="32"/>
          <w:highlight w:val="none"/>
        </w:rPr>
        <w:t>修订的药品说明书样稿、药品标签样稿等，并附详细的修订说明</w:t>
      </w:r>
    </w:p>
    <w:p w14:paraId="37A96A1E">
      <w:pPr>
        <w:overflowPunct w:val="0"/>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六、</w:t>
      </w:r>
      <w:r>
        <w:rPr>
          <w:rFonts w:ascii="黑体" w:hAnsi="黑体" w:eastAsia="黑体"/>
          <w:color w:val="auto"/>
          <w:sz w:val="32"/>
          <w:szCs w:val="32"/>
          <w:highlight w:val="none"/>
        </w:rPr>
        <w:t>国家药品监管部门规定的其他资料</w:t>
      </w:r>
    </w:p>
    <w:p w14:paraId="17CFE0F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700E3"/>
    <w:rsid w:val="27370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Emphasis"/>
    <w:basedOn w:val="3"/>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2025-07-08T07:48:00Z</dcterms:created>
  <dc:creator>新祺</dc:creator>
  <cp:lastModifiedBy>新祺</cp:lastModifiedBy>
  <dcterms:modified xsi:type="dcterms:W3CDTF">2025-07-08T07:50:08Z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48FFBF82E8B54095B76A351C8C825AE4_11</vt:lpwstr>
  </property>
  <property fmtid="{D5CDD505-2E9C-101B-9397-08002B2CF9AE}" pid="4" name="KSOTemplateDocerSaveRecord">
    <vt:lpwstr>eyJoZGlkIjoiNzUzMjcxYjI3MDRjMDIwZmVmYTgzNGM3MjE3OGJkMDMiLCJ1c2VySWQiOiIyNzgyMDExNzcifQ==</vt:lpwstr>
  </property>
</Properties>
</file>