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Times New Roman" w:hAnsi="Times New Roman" w:eastAsia="方正小标宋简体" w:cs="Times New Roman"/>
          <w:color w:val="auto"/>
          <w:spacing w:val="-11"/>
          <w:kern w:val="0"/>
          <w:sz w:val="48"/>
          <w:szCs w:val="48"/>
          <w:highlight w:val="none"/>
          <w:u w:val="none"/>
          <w:lang w:val="en-US" w:eastAsia="zh-CN" w:bidi="ar"/>
        </w:rPr>
      </w:pPr>
      <w:bookmarkStart w:id="1" w:name="_GoBack"/>
      <w:bookmarkStart w:id="0" w:name="OLE_LINK1"/>
      <w:r>
        <w:rPr>
          <w:rFonts w:hint="eastAsia" w:ascii="黑体" w:hAnsi="黑体" w:eastAsia="黑体" w:cs="黑体"/>
          <w:color w:val="auto"/>
          <w:spacing w:val="0"/>
          <w:w w:val="100"/>
          <w:kern w:val="0"/>
          <w:sz w:val="32"/>
          <w:szCs w:val="32"/>
          <w:highlight w:val="none"/>
          <w:u w:val="none"/>
          <w:lang w:val="en-US" w:eastAsia="zh-CN" w:bidi="ar"/>
        </w:rPr>
        <w:t>附件</w:t>
      </w:r>
    </w:p>
    <w:p>
      <w:pPr>
        <w:keepNext w:val="0"/>
        <w:keepLines w:val="0"/>
        <w:pageBreakBefore w:val="0"/>
        <w:widowControl w:val="0"/>
        <w:suppressLineNumbers w:val="0"/>
        <w:kinsoku/>
        <w:wordWrap w:val="0"/>
        <w:overflowPunct/>
        <w:topLinePunct/>
        <w:autoSpaceDE/>
        <w:autoSpaceDN/>
        <w:bidi w:val="0"/>
        <w:adjustRightInd/>
        <w:snapToGrid/>
        <w:spacing w:line="640" w:lineRule="exact"/>
        <w:jc w:val="center"/>
        <w:textAlignment w:val="auto"/>
        <w:outlineLvl w:val="0"/>
        <w:rPr>
          <w:rFonts w:hint="default" w:ascii="Times New Roman" w:hAnsi="Times New Roman" w:eastAsia="方正小标宋简体" w:cs="Times New Roman"/>
          <w:color w:val="auto"/>
          <w:spacing w:val="-11"/>
          <w:kern w:val="0"/>
          <w:sz w:val="44"/>
          <w:szCs w:val="44"/>
          <w:highlight w:val="none"/>
          <w:u w:val="none"/>
          <w:lang w:val="en-US" w:eastAsia="zh-CN" w:bidi="ar"/>
        </w:rPr>
      </w:pPr>
      <w:r>
        <w:rPr>
          <w:rFonts w:hint="default" w:ascii="Times New Roman" w:hAnsi="Times New Roman" w:eastAsia="方正小标宋简体" w:cs="Times New Roman"/>
          <w:color w:val="auto"/>
          <w:spacing w:val="-11"/>
          <w:kern w:val="0"/>
          <w:sz w:val="44"/>
          <w:szCs w:val="44"/>
          <w:highlight w:val="none"/>
          <w:u w:val="none"/>
          <w:lang w:val="en-US" w:eastAsia="zh-CN" w:bidi="ar"/>
        </w:rPr>
        <w:t>湖南省集中采购药品和医用耗材配送服务</w:t>
      </w:r>
    </w:p>
    <w:p>
      <w:pPr>
        <w:keepNext w:val="0"/>
        <w:keepLines w:val="0"/>
        <w:pageBreakBefore w:val="0"/>
        <w:widowControl w:val="0"/>
        <w:suppressLineNumbers w:val="0"/>
        <w:kinsoku/>
        <w:wordWrap w:val="0"/>
        <w:overflowPunct/>
        <w:topLinePunct/>
        <w:autoSpaceDE/>
        <w:autoSpaceDN/>
        <w:bidi w:val="0"/>
        <w:adjustRightInd/>
        <w:snapToGrid/>
        <w:spacing w:line="640" w:lineRule="exact"/>
        <w:jc w:val="center"/>
        <w:textAlignment w:val="auto"/>
        <w:outlineLvl w:val="0"/>
        <w:rPr>
          <w:rFonts w:hint="default" w:ascii="Times New Roman" w:hAnsi="Times New Roman" w:eastAsia="方正小标宋简体" w:cs="Times New Roman"/>
          <w:color w:val="auto"/>
          <w:spacing w:val="-11"/>
          <w:kern w:val="0"/>
          <w:sz w:val="44"/>
          <w:szCs w:val="44"/>
          <w:highlight w:val="none"/>
          <w:u w:val="none"/>
          <w:lang w:val="en-US" w:eastAsia="zh-CN" w:bidi="ar"/>
        </w:rPr>
      </w:pPr>
      <w:r>
        <w:rPr>
          <w:rFonts w:hint="default" w:ascii="Times New Roman" w:hAnsi="Times New Roman" w:eastAsia="方正小标宋简体" w:cs="Times New Roman"/>
          <w:color w:val="auto"/>
          <w:spacing w:val="-11"/>
          <w:kern w:val="0"/>
          <w:sz w:val="44"/>
          <w:szCs w:val="44"/>
          <w:highlight w:val="none"/>
          <w:u w:val="none"/>
          <w:lang w:val="en-US" w:eastAsia="zh-CN" w:bidi="ar"/>
        </w:rPr>
        <w:t>管理办法</w:t>
      </w:r>
      <w:bookmarkEnd w:id="0"/>
    </w:p>
    <w:bookmarkEnd w:id="1"/>
    <w:p>
      <w:pPr>
        <w:keepNext w:val="0"/>
        <w:keepLines w:val="0"/>
        <w:pageBreakBefore w:val="0"/>
        <w:widowControl w:val="0"/>
        <w:suppressLineNumbers w:val="0"/>
        <w:kinsoku/>
        <w:wordWrap w:val="0"/>
        <w:overflowPunct/>
        <w:topLinePunct/>
        <w:autoSpaceDE/>
        <w:autoSpaceDN/>
        <w:bidi w:val="0"/>
        <w:adjustRightInd/>
        <w:snapToGrid/>
        <w:spacing w:line="640" w:lineRule="exact"/>
        <w:jc w:val="center"/>
        <w:textAlignment w:val="auto"/>
        <w:outlineLvl w:val="0"/>
        <w:rPr>
          <w:rFonts w:hint="eastAsia" w:ascii="楷体" w:hAnsi="楷体" w:eastAsia="楷体" w:cs="楷体"/>
          <w:color w:val="auto"/>
          <w:spacing w:val="-11"/>
          <w:kern w:val="0"/>
          <w:sz w:val="32"/>
          <w:szCs w:val="32"/>
          <w:highlight w:val="none"/>
          <w:u w:val="none"/>
          <w:lang w:val="en-US" w:eastAsia="zh-CN" w:bidi="ar"/>
        </w:rPr>
      </w:pPr>
      <w:r>
        <w:rPr>
          <w:rFonts w:hint="eastAsia" w:ascii="楷体" w:hAnsi="楷体" w:eastAsia="楷体" w:cs="楷体"/>
          <w:color w:val="auto"/>
          <w:spacing w:val="-11"/>
          <w:kern w:val="0"/>
          <w:sz w:val="32"/>
          <w:szCs w:val="32"/>
          <w:highlight w:val="none"/>
          <w:u w:val="none"/>
          <w:lang w:val="en-US" w:eastAsia="zh-CN" w:bidi="ar"/>
        </w:rPr>
        <w:t>（征求意见稿）</w:t>
      </w:r>
    </w:p>
    <w:p>
      <w:pPr>
        <w:keepNext w:val="0"/>
        <w:keepLines w:val="0"/>
        <w:pageBreakBefore w:val="0"/>
        <w:widowControl w:val="0"/>
        <w:suppressLineNumbers w:val="0"/>
        <w:kinsoku/>
        <w:wordWrap w:val="0"/>
        <w:overflowPunct/>
        <w:topLinePunct/>
        <w:autoSpaceDE/>
        <w:autoSpaceDN/>
        <w:bidi w:val="0"/>
        <w:adjustRightInd/>
        <w:spacing w:line="640" w:lineRule="exact"/>
        <w:jc w:val="both"/>
        <w:textAlignment w:val="auto"/>
        <w:rPr>
          <w:rFonts w:hint="default" w:ascii="Times New Roman" w:hAnsi="Times New Roman" w:eastAsia="黑体" w:cs="Times New Roman"/>
          <w:color w:val="auto"/>
          <w:kern w:val="0"/>
          <w:sz w:val="32"/>
          <w:szCs w:val="32"/>
          <w:highlight w:val="none"/>
          <w:u w:val="none"/>
          <w:lang w:val="en-US" w:eastAsia="zh-CN" w:bidi="ar"/>
        </w:rPr>
      </w:pPr>
    </w:p>
    <w:p>
      <w:pPr>
        <w:keepNext w:val="0"/>
        <w:keepLines w:val="0"/>
        <w:pageBreakBefore w:val="0"/>
        <w:widowControl w:val="0"/>
        <w:suppressLineNumbers w:val="0"/>
        <w:kinsoku/>
        <w:wordWrap w:val="0"/>
        <w:overflowPunct/>
        <w:topLinePunct/>
        <w:autoSpaceDE/>
        <w:autoSpaceDN/>
        <w:bidi w:val="0"/>
        <w:adjustRightInd/>
        <w:spacing w:line="640" w:lineRule="exact"/>
        <w:jc w:val="center"/>
        <w:textAlignment w:val="auto"/>
        <w:outlineLvl w:val="0"/>
        <w:rPr>
          <w:rFonts w:hint="default" w:ascii="Times New Roman" w:hAnsi="Times New Roman" w:eastAsia="黑体" w:cs="Times New Roman"/>
          <w:color w:val="auto"/>
          <w:kern w:val="0"/>
          <w:sz w:val="32"/>
          <w:szCs w:val="32"/>
          <w:highlight w:val="none"/>
          <w:u w:val="none"/>
          <w:lang w:val="en-US" w:eastAsia="zh-CN" w:bidi="ar"/>
        </w:rPr>
      </w:pPr>
      <w:r>
        <w:rPr>
          <w:rFonts w:hint="default" w:ascii="Times New Roman" w:hAnsi="Times New Roman" w:eastAsia="黑体" w:cs="Times New Roman"/>
          <w:color w:val="auto"/>
          <w:kern w:val="0"/>
          <w:sz w:val="32"/>
          <w:szCs w:val="32"/>
          <w:highlight w:val="none"/>
          <w:u w:val="none"/>
          <w:lang w:val="en-US" w:eastAsia="zh-CN" w:bidi="ar"/>
        </w:rPr>
        <w:t>第一章  总则</w:t>
      </w:r>
    </w:p>
    <w:p>
      <w:pPr>
        <w:keepNext w:val="0"/>
        <w:keepLines w:val="0"/>
        <w:pageBreakBefore w:val="0"/>
        <w:widowControl w:val="0"/>
        <w:suppressLineNumbers w:val="0"/>
        <w:kinsoku/>
        <w:wordWrap w:val="0"/>
        <w:overflowPunct/>
        <w:topLinePunct/>
        <w:autoSpaceDE/>
        <w:autoSpaceDN/>
        <w:bidi w:val="0"/>
        <w:adjustRightInd/>
        <w:spacing w:line="640" w:lineRule="exact"/>
        <w:ind w:left="0" w:leftChars="0" w:firstLine="643" w:firstLineChars="200"/>
        <w:jc w:val="both"/>
        <w:textAlignment w:val="auto"/>
        <w:rPr>
          <w:rFonts w:hint="default" w:ascii="Times New Roman" w:hAnsi="Times New Roman" w:eastAsia="仿宋_GB2312" w:cs="Times New Roman"/>
          <w:color w:val="auto"/>
          <w:kern w:val="0"/>
          <w:sz w:val="32"/>
          <w:szCs w:val="32"/>
          <w:highlight w:val="none"/>
          <w:u w:val="none"/>
          <w:lang w:val="en-US" w:eastAsia="zh-CN" w:bidi="ar"/>
        </w:rPr>
      </w:pPr>
      <w:r>
        <w:rPr>
          <w:rFonts w:hint="default" w:ascii="Times New Roman" w:hAnsi="Times New Roman" w:eastAsia="楷体_GB2312" w:cs="Times New Roman"/>
          <w:b/>
          <w:bCs/>
          <w:color w:val="000000"/>
          <w:kern w:val="0"/>
          <w:sz w:val="32"/>
          <w:szCs w:val="32"/>
          <w:lang w:val="en-US" w:eastAsia="zh-CN" w:bidi="ar"/>
        </w:rPr>
        <w:t>第一条 目的依据</w:t>
      </w:r>
      <w:r>
        <w:rPr>
          <w:rFonts w:hint="default" w:ascii="Times New Roman" w:hAnsi="Times New Roman" w:eastAsia="仿宋_GB2312" w:cs="Times New Roman"/>
          <w:b/>
          <w:bCs/>
          <w:color w:val="000000"/>
          <w:kern w:val="0"/>
          <w:sz w:val="32"/>
          <w:szCs w:val="32"/>
          <w:lang w:val="en-US" w:eastAsia="zh-CN" w:bidi="ar"/>
        </w:rPr>
        <w:t xml:space="preserve"> </w:t>
      </w:r>
      <w:r>
        <w:rPr>
          <w:rFonts w:hint="default" w:ascii="Times New Roman" w:hAnsi="Times New Roman" w:eastAsia="仿宋_GB2312" w:cs="Times New Roman"/>
          <w:color w:val="auto"/>
          <w:kern w:val="0"/>
          <w:sz w:val="32"/>
          <w:szCs w:val="32"/>
          <w:highlight w:val="none"/>
          <w:u w:val="none"/>
          <w:lang w:val="en-US" w:eastAsia="zh-CN" w:bidi="ar"/>
        </w:rPr>
        <w:t xml:space="preserve">根据《中华人民共和国药品管理法》及《医疗器械监督管理条例》（国令第739号）、《国务院办公厅关于推动药品集中带量采购工作常态化制度化开展的意见》（国办发〔2021〕2号）等法律法规及文件精神，为完善药品和医用耗材集中采购制度，加强全省集中采购药品和医用耗材配送服务管理，规范配送服务秩序，提升企业配送服务能力和服务效率，保障集中采购药品、医用耗材供应充足稳定，制定本管理办法。 </w:t>
      </w:r>
    </w:p>
    <w:p>
      <w:pPr>
        <w:keepNext w:val="0"/>
        <w:keepLines w:val="0"/>
        <w:pageBreakBefore w:val="0"/>
        <w:widowControl w:val="0"/>
        <w:suppressLineNumbers w:val="0"/>
        <w:kinsoku/>
        <w:wordWrap w:val="0"/>
        <w:overflowPunct/>
        <w:topLinePunct/>
        <w:autoSpaceDE/>
        <w:autoSpaceDN/>
        <w:bidi w:val="0"/>
        <w:adjustRightInd/>
        <w:spacing w:line="640" w:lineRule="exact"/>
        <w:ind w:left="0" w:leftChars="0" w:firstLine="643" w:firstLineChars="200"/>
        <w:jc w:val="both"/>
        <w:textAlignment w:val="auto"/>
        <w:rPr>
          <w:rFonts w:hint="default" w:ascii="Times New Roman" w:hAnsi="Times New Roman" w:eastAsia="CESI仿宋-GB2312" w:cs="Times New Roman"/>
          <w:color w:val="auto"/>
          <w:kern w:val="0"/>
          <w:sz w:val="32"/>
          <w:szCs w:val="32"/>
          <w:highlight w:val="none"/>
          <w:u w:val="none"/>
          <w:lang w:val="en-US" w:eastAsia="zh-CN" w:bidi="ar"/>
        </w:rPr>
      </w:pPr>
      <w:r>
        <w:rPr>
          <w:rFonts w:hint="default" w:ascii="Times New Roman" w:hAnsi="Times New Roman" w:eastAsia="楷体_GB2312" w:cs="Times New Roman"/>
          <w:b/>
          <w:bCs/>
          <w:color w:val="000000"/>
          <w:kern w:val="0"/>
          <w:sz w:val="32"/>
          <w:szCs w:val="32"/>
          <w:lang w:val="en-US" w:eastAsia="zh-CN" w:bidi="ar"/>
        </w:rPr>
        <w:t xml:space="preserve">第二条 名词释义 </w:t>
      </w:r>
      <w:r>
        <w:rPr>
          <w:rFonts w:hint="default" w:ascii="Times New Roman" w:hAnsi="Times New Roman" w:eastAsia="仿宋_GB2312" w:cs="Times New Roman"/>
          <w:color w:val="auto"/>
          <w:kern w:val="0"/>
          <w:sz w:val="32"/>
          <w:szCs w:val="32"/>
          <w:highlight w:val="none"/>
          <w:u w:val="none"/>
          <w:lang w:val="en-US" w:eastAsia="zh-CN" w:bidi="ar"/>
        </w:rPr>
        <w:t>本管理办法集中采购药品和医用耗材配送管理是指全省通过湖南省医药采购平台（即湖南省医疗保障信息平台药品和医用耗材招采管理子系统，以下简称“医药采购平台”）采购药品和医用耗材的配送管理工作。</w:t>
      </w:r>
    </w:p>
    <w:p>
      <w:pPr>
        <w:keepNext w:val="0"/>
        <w:keepLines w:val="0"/>
        <w:pageBreakBefore w:val="0"/>
        <w:widowControl w:val="0"/>
        <w:suppressLineNumbers w:val="0"/>
        <w:kinsoku/>
        <w:wordWrap w:val="0"/>
        <w:overflowPunct/>
        <w:topLinePunct/>
        <w:autoSpaceDE/>
        <w:autoSpaceDN/>
        <w:bidi w:val="0"/>
        <w:adjustRightInd/>
        <w:spacing w:line="640" w:lineRule="exact"/>
        <w:ind w:left="0" w:leftChars="0" w:firstLine="643" w:firstLineChars="200"/>
        <w:jc w:val="both"/>
        <w:textAlignment w:val="auto"/>
        <w:rPr>
          <w:rFonts w:hint="default" w:ascii="Times New Roman" w:hAnsi="Times New Roman" w:eastAsia="仿宋_GB2312" w:cs="Times New Roman"/>
          <w:color w:val="auto"/>
          <w:kern w:val="0"/>
          <w:sz w:val="32"/>
          <w:szCs w:val="32"/>
          <w:highlight w:val="none"/>
          <w:u w:val="none"/>
          <w:lang w:val="en-US" w:eastAsia="zh-CN" w:bidi="ar"/>
        </w:rPr>
      </w:pPr>
      <w:r>
        <w:rPr>
          <w:rFonts w:hint="default" w:ascii="Times New Roman" w:hAnsi="Times New Roman" w:eastAsia="楷体_GB2312" w:cs="Times New Roman"/>
          <w:b/>
          <w:bCs/>
          <w:color w:val="000000"/>
          <w:kern w:val="0"/>
          <w:sz w:val="32"/>
          <w:szCs w:val="32"/>
          <w:lang w:val="en-US" w:eastAsia="zh-CN" w:bidi="ar"/>
        </w:rPr>
        <w:t xml:space="preserve">第三条 适用范围 </w:t>
      </w:r>
      <w:r>
        <w:rPr>
          <w:rFonts w:hint="default" w:ascii="Times New Roman" w:hAnsi="Times New Roman" w:eastAsia="仿宋_GB2312" w:cs="Times New Roman"/>
          <w:color w:val="auto"/>
          <w:kern w:val="0"/>
          <w:sz w:val="32"/>
          <w:szCs w:val="32"/>
          <w:highlight w:val="none"/>
          <w:u w:val="none"/>
          <w:lang w:val="en-US" w:eastAsia="zh-CN" w:bidi="ar"/>
        </w:rPr>
        <w:t>本管理办法适用于全省参与药品和医用耗材网上集中采购的生产企业、配送企业、医药卫生机构。</w:t>
      </w:r>
    </w:p>
    <w:p>
      <w:pPr>
        <w:keepNext w:val="0"/>
        <w:keepLines w:val="0"/>
        <w:pageBreakBefore w:val="0"/>
        <w:widowControl w:val="0"/>
        <w:suppressLineNumbers w:val="0"/>
        <w:kinsoku/>
        <w:wordWrap w:val="0"/>
        <w:overflowPunct/>
        <w:topLinePunct/>
        <w:autoSpaceDE/>
        <w:autoSpaceDN/>
        <w:bidi w:val="0"/>
        <w:adjustRightInd/>
        <w:spacing w:line="640" w:lineRule="exact"/>
        <w:ind w:left="0" w:leftChars="0" w:firstLine="643" w:firstLineChars="200"/>
        <w:jc w:val="both"/>
        <w:textAlignment w:val="auto"/>
        <w:rPr>
          <w:rFonts w:hint="default" w:ascii="Times New Roman" w:hAnsi="Times New Roman" w:eastAsia="CESI仿宋-GB2312" w:cs="Times New Roman"/>
          <w:color w:val="auto"/>
          <w:kern w:val="0"/>
          <w:sz w:val="32"/>
          <w:szCs w:val="32"/>
          <w:highlight w:val="none"/>
          <w:u w:val="none"/>
          <w:lang w:val="en-US" w:eastAsia="zh-CN" w:bidi="ar"/>
        </w:rPr>
      </w:pPr>
      <w:r>
        <w:rPr>
          <w:rFonts w:hint="default" w:ascii="Times New Roman" w:hAnsi="Times New Roman" w:eastAsia="CESI仿宋-GB2312" w:cs="Times New Roman"/>
          <w:b/>
          <w:bCs/>
          <w:color w:val="auto"/>
          <w:kern w:val="0"/>
          <w:sz w:val="32"/>
          <w:szCs w:val="32"/>
          <w:highlight w:val="none"/>
          <w:u w:val="none"/>
          <w:lang w:val="en-US" w:eastAsia="zh-CN" w:bidi="ar"/>
        </w:rPr>
        <w:t xml:space="preserve"> </w:t>
      </w:r>
    </w:p>
    <w:p>
      <w:pPr>
        <w:keepNext w:val="0"/>
        <w:keepLines w:val="0"/>
        <w:pageBreakBefore w:val="0"/>
        <w:widowControl w:val="0"/>
        <w:suppressLineNumbers w:val="0"/>
        <w:kinsoku/>
        <w:wordWrap w:val="0"/>
        <w:overflowPunct/>
        <w:topLinePunct/>
        <w:autoSpaceDE/>
        <w:autoSpaceDN/>
        <w:bidi w:val="0"/>
        <w:adjustRightInd/>
        <w:spacing w:line="640" w:lineRule="exact"/>
        <w:ind w:left="0" w:leftChars="0"/>
        <w:jc w:val="center"/>
        <w:textAlignment w:val="auto"/>
        <w:outlineLvl w:val="0"/>
        <w:rPr>
          <w:rFonts w:hint="default" w:ascii="Times New Roman" w:hAnsi="Times New Roman" w:eastAsia="黑体" w:cs="Times New Roman"/>
          <w:color w:val="auto"/>
          <w:sz w:val="32"/>
          <w:szCs w:val="32"/>
          <w:u w:val="none"/>
          <w:lang w:val="en-US" w:eastAsia="zh-CN"/>
        </w:rPr>
      </w:pPr>
      <w:r>
        <w:rPr>
          <w:rFonts w:hint="default" w:ascii="Times New Roman" w:hAnsi="Times New Roman" w:eastAsia="黑体" w:cs="Times New Roman"/>
          <w:color w:val="auto"/>
          <w:kern w:val="0"/>
          <w:sz w:val="32"/>
          <w:szCs w:val="32"/>
          <w:highlight w:val="none"/>
          <w:u w:val="none"/>
          <w:lang w:val="en-US" w:eastAsia="zh-CN" w:bidi="ar"/>
        </w:rPr>
        <w:t>第二章 配送企业信息管理</w:t>
      </w:r>
    </w:p>
    <w:p>
      <w:pPr>
        <w:keepNext w:val="0"/>
        <w:keepLines w:val="0"/>
        <w:pageBreakBefore w:val="0"/>
        <w:widowControl w:val="0"/>
        <w:suppressLineNumbers w:val="0"/>
        <w:kinsoku/>
        <w:wordWrap w:val="0"/>
        <w:overflowPunct/>
        <w:topLinePunct/>
        <w:autoSpaceDE/>
        <w:autoSpaceDN/>
        <w:bidi w:val="0"/>
        <w:adjustRightInd/>
        <w:spacing w:line="640" w:lineRule="exact"/>
        <w:ind w:left="0" w:leftChars="0" w:firstLine="640" w:firstLineChars="200"/>
        <w:jc w:val="both"/>
        <w:textAlignment w:val="auto"/>
        <w:rPr>
          <w:rFonts w:hint="default" w:ascii="Times New Roman" w:hAnsi="Times New Roman" w:eastAsia="仿宋_GB2312" w:cs="Times New Roman"/>
          <w:color w:val="auto"/>
          <w:kern w:val="0"/>
          <w:sz w:val="32"/>
          <w:szCs w:val="32"/>
          <w:highlight w:val="none"/>
          <w:u w:val="none"/>
          <w:lang w:val="en-US" w:eastAsia="zh-CN" w:bidi="ar"/>
        </w:rPr>
      </w:pPr>
      <w:r>
        <w:rPr>
          <w:rFonts w:hint="eastAsia" w:ascii="楷体_GB2312" w:hAnsi="楷体_GB2312" w:eastAsia="楷体_GB2312" w:cs="楷体_GB2312"/>
          <w:b w:val="0"/>
          <w:bCs w:val="0"/>
          <w:color w:val="auto"/>
          <w:kern w:val="0"/>
          <w:sz w:val="32"/>
          <w:szCs w:val="32"/>
          <w:highlight w:val="none"/>
          <w:u w:val="none"/>
          <w:lang w:val="en-US" w:eastAsia="zh-CN" w:bidi="ar"/>
        </w:rPr>
        <w:t>第四条</w:t>
      </w:r>
      <w:r>
        <w:rPr>
          <w:rFonts w:hint="eastAsia" w:ascii="楷体_GB2312" w:hAnsi="楷体_GB2312" w:eastAsia="楷体_GB2312" w:cs="楷体_GB2312"/>
          <w:b/>
          <w:bCs/>
          <w:color w:val="auto"/>
          <w:kern w:val="0"/>
          <w:sz w:val="32"/>
          <w:szCs w:val="32"/>
          <w:highlight w:val="none"/>
          <w:u w:val="none"/>
          <w:lang w:val="en-US" w:eastAsia="zh-CN" w:bidi="ar"/>
        </w:rPr>
        <w:t xml:space="preserve"> 资质要求</w:t>
      </w:r>
      <w:r>
        <w:rPr>
          <w:rFonts w:hint="default" w:ascii="Times New Roman" w:hAnsi="Times New Roman" w:eastAsia="仿宋_GB2312" w:cs="Times New Roman"/>
          <w:color w:val="auto"/>
          <w:kern w:val="0"/>
          <w:sz w:val="32"/>
          <w:szCs w:val="32"/>
          <w:highlight w:val="none"/>
          <w:u w:val="none"/>
          <w:lang w:val="en-US" w:eastAsia="zh-CN" w:bidi="ar"/>
        </w:rPr>
        <w:t xml:space="preserve"> 药品和医用耗材配送企业应依法取得药品或医疗器械生产经营资质，且应符合配送药品或医疗器械品种相适应的经营范围</w:t>
      </w:r>
      <w:r>
        <w:rPr>
          <w:rFonts w:hint="default" w:ascii="Times New Roman" w:hAnsi="Times New Roman" w:eastAsia="仿宋_GB2312" w:cs="Times New Roman"/>
          <w:i w:val="0"/>
          <w:caps w:val="0"/>
          <w:color w:val="auto"/>
          <w:spacing w:val="0"/>
          <w:sz w:val="32"/>
          <w:szCs w:val="32"/>
          <w:u w:val="none"/>
          <w:shd w:val="clear" w:color="auto" w:fill="FFFFFF"/>
        </w:rPr>
        <w:t>。</w:t>
      </w:r>
    </w:p>
    <w:p>
      <w:pPr>
        <w:keepNext w:val="0"/>
        <w:keepLines w:val="0"/>
        <w:pageBreakBefore w:val="0"/>
        <w:widowControl w:val="0"/>
        <w:suppressLineNumbers w:val="0"/>
        <w:kinsoku/>
        <w:wordWrap w:val="0"/>
        <w:overflowPunct/>
        <w:topLinePunct/>
        <w:autoSpaceDE/>
        <w:autoSpaceDN/>
        <w:bidi w:val="0"/>
        <w:adjustRightInd/>
        <w:spacing w:line="640" w:lineRule="exact"/>
        <w:ind w:left="0" w:leftChars="0" w:firstLine="640" w:firstLineChars="200"/>
        <w:jc w:val="both"/>
        <w:textAlignment w:val="auto"/>
        <w:rPr>
          <w:rFonts w:hint="default" w:ascii="Times New Roman" w:hAnsi="Times New Roman" w:eastAsia="CESI仿宋-GB2312" w:cs="Times New Roman"/>
          <w:color w:val="auto"/>
          <w:kern w:val="0"/>
          <w:sz w:val="32"/>
          <w:szCs w:val="32"/>
          <w:highlight w:val="none"/>
          <w:u w:val="none"/>
          <w:lang w:val="en-US" w:eastAsia="zh-CN" w:bidi="ar"/>
        </w:rPr>
      </w:pPr>
      <w:r>
        <w:rPr>
          <w:rFonts w:hint="eastAsia" w:ascii="楷体_GB2312" w:hAnsi="楷体_GB2312" w:eastAsia="楷体_GB2312" w:cs="楷体_GB2312"/>
          <w:b w:val="0"/>
          <w:bCs w:val="0"/>
          <w:color w:val="auto"/>
          <w:kern w:val="0"/>
          <w:sz w:val="32"/>
          <w:szCs w:val="32"/>
          <w:highlight w:val="none"/>
          <w:u w:val="none"/>
          <w:lang w:val="en-US" w:eastAsia="zh-CN" w:bidi="ar"/>
        </w:rPr>
        <w:t>第五条 信息管理</w:t>
      </w:r>
      <w:r>
        <w:rPr>
          <w:rFonts w:hint="default" w:ascii="Times New Roman" w:hAnsi="Times New Roman" w:eastAsia="仿宋_GB2312" w:cs="Times New Roman"/>
          <w:b/>
          <w:bCs/>
          <w:color w:val="auto"/>
          <w:kern w:val="0"/>
          <w:sz w:val="32"/>
          <w:szCs w:val="32"/>
          <w:highlight w:val="none"/>
          <w:u w:val="none"/>
          <w:lang w:val="en-US" w:eastAsia="zh-CN" w:bidi="ar"/>
        </w:rPr>
        <w:t xml:space="preserve"> </w:t>
      </w:r>
      <w:r>
        <w:rPr>
          <w:rFonts w:hint="default" w:ascii="Times New Roman" w:hAnsi="Times New Roman" w:eastAsia="仿宋_GB2312" w:cs="Times New Roman"/>
          <w:color w:val="auto"/>
          <w:kern w:val="0"/>
          <w:sz w:val="32"/>
          <w:szCs w:val="32"/>
          <w:highlight w:val="none"/>
          <w:u w:val="none"/>
          <w:lang w:val="en-US" w:eastAsia="zh-CN" w:bidi="ar"/>
        </w:rPr>
        <w:t>具备配送能力的配送企业可自主申报参加我省药品和医用耗材供应配送活动，应按照湖南省医药集中采购公共服务事项要求在医药采购平台进行信息登记，经登记后方可获得湖南省药品和医用耗材配送资格。</w:t>
      </w:r>
    </w:p>
    <w:p>
      <w:pPr>
        <w:keepNext w:val="0"/>
        <w:keepLines w:val="0"/>
        <w:pageBreakBefore w:val="0"/>
        <w:widowControl w:val="0"/>
        <w:suppressLineNumbers w:val="0"/>
        <w:kinsoku/>
        <w:wordWrap w:val="0"/>
        <w:overflowPunct/>
        <w:topLinePunct/>
        <w:autoSpaceDE/>
        <w:autoSpaceDN/>
        <w:bidi w:val="0"/>
        <w:adjustRightInd/>
        <w:spacing w:line="640" w:lineRule="exact"/>
        <w:ind w:left="0" w:leftChars="0" w:firstLine="640" w:firstLineChars="200"/>
        <w:jc w:val="both"/>
        <w:textAlignment w:val="auto"/>
        <w:rPr>
          <w:rFonts w:hint="default" w:ascii="Times New Roman" w:hAnsi="Times New Roman" w:eastAsia="仿宋_GB2312" w:cs="Times New Roman"/>
          <w:color w:val="auto"/>
          <w:kern w:val="0"/>
          <w:sz w:val="32"/>
          <w:szCs w:val="32"/>
          <w:highlight w:val="none"/>
          <w:u w:val="none"/>
          <w:lang w:val="en-US" w:eastAsia="zh-CN" w:bidi="ar"/>
        </w:rPr>
      </w:pPr>
      <w:r>
        <w:rPr>
          <w:rFonts w:hint="eastAsia" w:ascii="楷体_GB2312" w:hAnsi="楷体_GB2312" w:eastAsia="楷体_GB2312" w:cs="楷体_GB2312"/>
          <w:b w:val="0"/>
          <w:bCs w:val="0"/>
          <w:color w:val="auto"/>
          <w:kern w:val="0"/>
          <w:sz w:val="32"/>
          <w:szCs w:val="32"/>
          <w:highlight w:val="none"/>
          <w:u w:val="none"/>
          <w:lang w:val="en-US" w:eastAsia="zh-CN" w:bidi="ar"/>
        </w:rPr>
        <w:t>第六条</w:t>
      </w:r>
      <w:r>
        <w:rPr>
          <w:rFonts w:hint="eastAsia" w:ascii="楷体_GB2312" w:hAnsi="楷体_GB2312" w:eastAsia="楷体_GB2312" w:cs="楷体_GB2312"/>
          <w:b/>
          <w:bCs/>
          <w:color w:val="auto"/>
          <w:kern w:val="0"/>
          <w:sz w:val="32"/>
          <w:szCs w:val="32"/>
          <w:highlight w:val="none"/>
          <w:u w:val="none"/>
          <w:lang w:val="en-US" w:eastAsia="zh-CN" w:bidi="ar"/>
        </w:rPr>
        <w:t xml:space="preserve"> 登记要求</w:t>
      </w:r>
      <w:r>
        <w:rPr>
          <w:rFonts w:hint="default" w:ascii="Times New Roman" w:hAnsi="Times New Roman" w:eastAsia="仿宋_GB2312" w:cs="Times New Roman"/>
          <w:b/>
          <w:bCs/>
          <w:color w:val="auto"/>
          <w:kern w:val="0"/>
          <w:sz w:val="32"/>
          <w:szCs w:val="32"/>
          <w:highlight w:val="none"/>
          <w:u w:val="none"/>
          <w:lang w:val="en-US" w:eastAsia="zh-CN" w:bidi="ar"/>
        </w:rPr>
        <w:t xml:space="preserve"> </w:t>
      </w:r>
      <w:r>
        <w:rPr>
          <w:rFonts w:hint="default" w:ascii="Times New Roman" w:hAnsi="Times New Roman" w:eastAsia="仿宋_GB2312" w:cs="Times New Roman"/>
          <w:color w:val="auto"/>
          <w:kern w:val="0"/>
          <w:sz w:val="32"/>
          <w:szCs w:val="32"/>
          <w:highlight w:val="none"/>
          <w:u w:val="none"/>
          <w:lang w:val="en-US" w:eastAsia="zh-CN" w:bidi="ar"/>
        </w:rPr>
        <w:t>配送企业登记实施动态管理，随时申报，即时受理。配送企业申报实施信用承诺制，并应当具备以下条件：</w:t>
      </w:r>
    </w:p>
    <w:p>
      <w:pPr>
        <w:keepNext w:val="0"/>
        <w:keepLines w:val="0"/>
        <w:pageBreakBefore w:val="0"/>
        <w:widowControl w:val="0"/>
        <w:suppressLineNumbers w:val="0"/>
        <w:kinsoku/>
        <w:wordWrap w:val="0"/>
        <w:overflowPunct/>
        <w:topLinePunct/>
        <w:autoSpaceDE/>
        <w:autoSpaceDN/>
        <w:bidi w:val="0"/>
        <w:adjustRightInd/>
        <w:spacing w:line="640" w:lineRule="exact"/>
        <w:ind w:left="0" w:leftChars="0" w:firstLine="640" w:firstLineChars="200"/>
        <w:jc w:val="both"/>
        <w:textAlignment w:val="auto"/>
        <w:rPr>
          <w:rFonts w:hint="default" w:ascii="Times New Roman" w:hAnsi="Times New Roman" w:eastAsia="仿宋_GB2312" w:cs="Times New Roman"/>
          <w:color w:val="auto"/>
          <w:kern w:val="0"/>
          <w:sz w:val="32"/>
          <w:szCs w:val="32"/>
          <w:highlight w:val="none"/>
          <w:u w:val="none"/>
          <w:lang w:val="en-US" w:eastAsia="zh-CN" w:bidi="ar"/>
        </w:rPr>
      </w:pPr>
      <w:r>
        <w:rPr>
          <w:rFonts w:hint="default" w:ascii="Times New Roman" w:hAnsi="Times New Roman" w:eastAsia="仿宋_GB2312" w:cs="Times New Roman"/>
          <w:color w:val="auto"/>
          <w:kern w:val="0"/>
          <w:sz w:val="32"/>
          <w:szCs w:val="32"/>
          <w:highlight w:val="none"/>
          <w:u w:val="none"/>
          <w:lang w:val="en-US" w:eastAsia="zh-CN" w:bidi="ar"/>
        </w:rPr>
        <w:t>（一）具备履行合同必须具备的药品和医用耗材配送保障能力；</w:t>
      </w:r>
    </w:p>
    <w:p>
      <w:pPr>
        <w:keepNext w:val="0"/>
        <w:keepLines w:val="0"/>
        <w:pageBreakBefore w:val="0"/>
        <w:widowControl w:val="0"/>
        <w:suppressLineNumbers w:val="0"/>
        <w:kinsoku/>
        <w:wordWrap w:val="0"/>
        <w:overflowPunct/>
        <w:topLinePunct/>
        <w:autoSpaceDE/>
        <w:autoSpaceDN/>
        <w:bidi w:val="0"/>
        <w:adjustRightInd/>
        <w:spacing w:line="640" w:lineRule="exact"/>
        <w:ind w:left="0" w:leftChars="0" w:firstLine="640" w:firstLineChars="200"/>
        <w:jc w:val="both"/>
        <w:textAlignment w:val="auto"/>
        <w:rPr>
          <w:rFonts w:hint="default" w:ascii="Times New Roman" w:hAnsi="Times New Roman" w:eastAsia="仿宋_GB2312" w:cs="Times New Roman"/>
          <w:color w:val="auto"/>
          <w:kern w:val="0"/>
          <w:sz w:val="32"/>
          <w:szCs w:val="32"/>
          <w:highlight w:val="none"/>
          <w:u w:val="none"/>
          <w:lang w:val="en-US" w:eastAsia="zh-CN" w:bidi="ar"/>
        </w:rPr>
      </w:pPr>
      <w:r>
        <w:rPr>
          <w:rFonts w:hint="default" w:ascii="Times New Roman" w:hAnsi="Times New Roman" w:eastAsia="仿宋_GB2312" w:cs="Times New Roman"/>
          <w:color w:val="auto"/>
          <w:kern w:val="0"/>
          <w:sz w:val="32"/>
          <w:szCs w:val="32"/>
          <w:highlight w:val="none"/>
          <w:u w:val="none"/>
          <w:lang w:val="en-US" w:eastAsia="zh-CN" w:bidi="ar"/>
        </w:rPr>
        <w:t>（二）申报企业和法人未被列入当前《全国医药价格和招采失信企业风险警示名单》《药品安全严重违法失信名单》，申报企业在生产经营活动中，无国家或我省认定招采信用评价“严重”及以上等级且未修复的失信行为，无药品安全信用评价“差”（D级）等次；</w:t>
      </w:r>
    </w:p>
    <w:p>
      <w:pPr>
        <w:keepNext w:val="0"/>
        <w:keepLines w:val="0"/>
        <w:pageBreakBefore w:val="0"/>
        <w:widowControl w:val="0"/>
        <w:suppressLineNumbers w:val="0"/>
        <w:kinsoku/>
        <w:wordWrap w:val="0"/>
        <w:overflowPunct/>
        <w:topLinePunct/>
        <w:autoSpaceDE/>
        <w:autoSpaceDN/>
        <w:bidi w:val="0"/>
        <w:adjustRightInd/>
        <w:spacing w:line="640" w:lineRule="exact"/>
        <w:ind w:left="0" w:leftChars="0" w:firstLine="640" w:firstLineChars="200"/>
        <w:jc w:val="both"/>
        <w:textAlignment w:val="auto"/>
        <w:rPr>
          <w:rFonts w:hint="default" w:ascii="Times New Roman" w:hAnsi="Times New Roman" w:eastAsia="CESI仿宋-GB2312" w:cs="Times New Roman"/>
          <w:color w:val="auto"/>
          <w:kern w:val="0"/>
          <w:sz w:val="32"/>
          <w:szCs w:val="32"/>
          <w:highlight w:val="none"/>
          <w:u w:val="none"/>
          <w:lang w:val="en-US" w:eastAsia="zh-CN" w:bidi="ar"/>
        </w:rPr>
      </w:pPr>
      <w:r>
        <w:rPr>
          <w:rFonts w:hint="default" w:ascii="Times New Roman" w:hAnsi="Times New Roman" w:eastAsia="仿宋_GB2312" w:cs="Times New Roman"/>
          <w:color w:val="auto"/>
          <w:kern w:val="0"/>
          <w:sz w:val="32"/>
          <w:szCs w:val="32"/>
          <w:highlight w:val="none"/>
          <w:u w:val="none"/>
          <w:lang w:val="en-US" w:eastAsia="zh-CN" w:bidi="ar"/>
        </w:rPr>
        <w:t>（三）法律法规规定的其他条件。</w:t>
      </w:r>
    </w:p>
    <w:p>
      <w:pPr>
        <w:keepNext w:val="0"/>
        <w:keepLines w:val="0"/>
        <w:pageBreakBefore w:val="0"/>
        <w:widowControl w:val="0"/>
        <w:suppressLineNumbers w:val="0"/>
        <w:kinsoku/>
        <w:wordWrap w:val="0"/>
        <w:overflowPunct/>
        <w:topLinePunct/>
        <w:autoSpaceDE/>
        <w:autoSpaceDN/>
        <w:bidi w:val="0"/>
        <w:adjustRightInd/>
        <w:spacing w:line="640" w:lineRule="exact"/>
        <w:ind w:left="0" w:leftChars="0" w:firstLine="640" w:firstLineChars="200"/>
        <w:jc w:val="both"/>
        <w:textAlignment w:val="auto"/>
        <w:rPr>
          <w:rFonts w:hint="default" w:ascii="Times New Roman" w:hAnsi="Times New Roman" w:eastAsia="仿宋_GB2312" w:cs="Times New Roman"/>
          <w:color w:val="auto"/>
          <w:kern w:val="0"/>
          <w:sz w:val="32"/>
          <w:szCs w:val="32"/>
          <w:highlight w:val="none"/>
          <w:u w:val="none"/>
          <w:lang w:val="en-US" w:eastAsia="zh-CN" w:bidi="ar"/>
        </w:rPr>
      </w:pPr>
      <w:r>
        <w:rPr>
          <w:rFonts w:hint="eastAsia" w:ascii="楷体_GB2312" w:hAnsi="楷体_GB2312" w:eastAsia="楷体_GB2312" w:cs="楷体_GB2312"/>
          <w:b w:val="0"/>
          <w:bCs w:val="0"/>
          <w:color w:val="auto"/>
          <w:kern w:val="0"/>
          <w:sz w:val="32"/>
          <w:szCs w:val="32"/>
          <w:highlight w:val="none"/>
          <w:u w:val="none"/>
          <w:lang w:val="en-US" w:eastAsia="zh-CN" w:bidi="ar"/>
        </w:rPr>
        <w:t>第七条</w:t>
      </w:r>
      <w:r>
        <w:rPr>
          <w:rFonts w:hint="eastAsia" w:ascii="楷体_GB2312" w:hAnsi="楷体_GB2312" w:eastAsia="楷体_GB2312" w:cs="楷体_GB2312"/>
          <w:b/>
          <w:bCs/>
          <w:color w:val="auto"/>
          <w:kern w:val="0"/>
          <w:sz w:val="32"/>
          <w:szCs w:val="32"/>
          <w:highlight w:val="none"/>
          <w:u w:val="none"/>
          <w:lang w:val="en-US" w:eastAsia="zh-CN" w:bidi="ar"/>
        </w:rPr>
        <w:t xml:space="preserve"> 配送区域</w:t>
      </w:r>
      <w:r>
        <w:rPr>
          <w:rFonts w:hint="default" w:ascii="Times New Roman" w:hAnsi="Times New Roman" w:eastAsia="CESI仿宋-GB2312" w:cs="Times New Roman"/>
          <w:color w:val="auto"/>
          <w:kern w:val="0"/>
          <w:sz w:val="32"/>
          <w:szCs w:val="32"/>
          <w:highlight w:val="none"/>
          <w:u w:val="none"/>
          <w:lang w:val="en-US" w:eastAsia="zh-CN" w:bidi="ar"/>
        </w:rPr>
        <w:t xml:space="preserve"> </w:t>
      </w:r>
      <w:r>
        <w:rPr>
          <w:rFonts w:hint="default" w:ascii="Times New Roman" w:hAnsi="Times New Roman" w:eastAsia="仿宋_GB2312" w:cs="Times New Roman"/>
          <w:color w:val="auto"/>
          <w:kern w:val="0"/>
          <w:sz w:val="32"/>
          <w:szCs w:val="32"/>
          <w:highlight w:val="none"/>
          <w:u w:val="none"/>
          <w:lang w:val="en-US" w:eastAsia="zh-CN" w:bidi="ar"/>
        </w:rPr>
        <w:t>配送企业应根据自身服务能力、服务意愿等情况，在医药采购平台自主选择并确认生产企业授权配送的产品和省内配送区域，全省以14个市州为配送单元，勾选相应产品和市州即承诺可向全市州区域所有医药卫生机构开展相应产品的服务配送。</w:t>
      </w:r>
    </w:p>
    <w:p>
      <w:pPr>
        <w:keepNext w:val="0"/>
        <w:keepLines w:val="0"/>
        <w:pageBreakBefore w:val="0"/>
        <w:widowControl w:val="0"/>
        <w:suppressLineNumbers w:val="0"/>
        <w:kinsoku/>
        <w:wordWrap w:val="0"/>
        <w:overflowPunct/>
        <w:topLinePunct/>
        <w:autoSpaceDE/>
        <w:autoSpaceDN/>
        <w:bidi w:val="0"/>
        <w:adjustRightInd/>
        <w:spacing w:line="640" w:lineRule="exact"/>
        <w:jc w:val="center"/>
        <w:textAlignment w:val="auto"/>
        <w:rPr>
          <w:rFonts w:hint="default" w:ascii="Times New Roman" w:hAnsi="Times New Roman" w:eastAsia="仿宋_GB2312" w:cs="Times New Roman"/>
          <w:color w:val="auto"/>
          <w:kern w:val="0"/>
          <w:sz w:val="32"/>
          <w:szCs w:val="32"/>
          <w:highlight w:val="none"/>
          <w:u w:val="none"/>
          <w:lang w:val="en-US" w:eastAsia="zh-CN" w:bidi="ar"/>
        </w:rPr>
      </w:pPr>
    </w:p>
    <w:p>
      <w:pPr>
        <w:keepNext w:val="0"/>
        <w:keepLines w:val="0"/>
        <w:pageBreakBefore w:val="0"/>
        <w:widowControl w:val="0"/>
        <w:suppressLineNumbers w:val="0"/>
        <w:kinsoku/>
        <w:wordWrap w:val="0"/>
        <w:overflowPunct/>
        <w:topLinePunct/>
        <w:autoSpaceDE/>
        <w:autoSpaceDN/>
        <w:bidi w:val="0"/>
        <w:adjustRightInd/>
        <w:spacing w:line="640" w:lineRule="exact"/>
        <w:jc w:val="center"/>
        <w:textAlignment w:val="auto"/>
        <w:rPr>
          <w:rFonts w:hint="default" w:ascii="Times New Roman" w:hAnsi="Times New Roman" w:eastAsia="黑体" w:cs="Times New Roman"/>
          <w:color w:val="auto"/>
          <w:kern w:val="0"/>
          <w:sz w:val="32"/>
          <w:szCs w:val="32"/>
          <w:highlight w:val="none"/>
          <w:u w:val="none"/>
          <w:lang w:val="en-US" w:eastAsia="zh-CN" w:bidi="ar"/>
        </w:rPr>
      </w:pPr>
      <w:r>
        <w:rPr>
          <w:rFonts w:hint="default" w:ascii="Times New Roman" w:hAnsi="Times New Roman" w:eastAsia="黑体" w:cs="Times New Roman"/>
          <w:color w:val="auto"/>
          <w:kern w:val="0"/>
          <w:sz w:val="32"/>
          <w:szCs w:val="32"/>
          <w:highlight w:val="none"/>
          <w:u w:val="none"/>
          <w:lang w:val="en-US" w:eastAsia="zh-CN" w:bidi="ar"/>
        </w:rPr>
        <w:t>第三章 配送服务要求</w:t>
      </w:r>
    </w:p>
    <w:p>
      <w:pPr>
        <w:keepNext w:val="0"/>
        <w:keepLines w:val="0"/>
        <w:pageBreakBefore w:val="0"/>
        <w:widowControl w:val="0"/>
        <w:suppressLineNumbers w:val="0"/>
        <w:kinsoku/>
        <w:wordWrap w:val="0"/>
        <w:overflowPunct/>
        <w:topLinePunct/>
        <w:autoSpaceDE/>
        <w:autoSpaceDN/>
        <w:bidi w:val="0"/>
        <w:adjustRightInd/>
        <w:spacing w:line="640" w:lineRule="exact"/>
        <w:ind w:left="0" w:leftChars="0" w:firstLine="640" w:firstLineChars="200"/>
        <w:jc w:val="both"/>
        <w:textAlignment w:val="auto"/>
        <w:rPr>
          <w:rFonts w:hint="default" w:ascii="Times New Roman" w:hAnsi="Times New Roman" w:eastAsia="仿宋_GB2312" w:cs="Times New Roman"/>
          <w:color w:val="auto"/>
          <w:kern w:val="0"/>
          <w:sz w:val="32"/>
          <w:szCs w:val="32"/>
          <w:highlight w:val="none"/>
          <w:u w:val="none"/>
          <w:lang w:val="en-US" w:eastAsia="zh-CN" w:bidi="ar"/>
        </w:rPr>
      </w:pPr>
      <w:r>
        <w:rPr>
          <w:rFonts w:hint="eastAsia" w:ascii="楷体_GB2312" w:hAnsi="楷体_GB2312" w:eastAsia="楷体_GB2312" w:cs="楷体_GB2312"/>
          <w:b w:val="0"/>
          <w:bCs w:val="0"/>
          <w:color w:val="auto"/>
          <w:kern w:val="0"/>
          <w:sz w:val="32"/>
          <w:szCs w:val="32"/>
          <w:highlight w:val="none"/>
          <w:u w:val="none"/>
          <w:lang w:val="en-US" w:eastAsia="zh-CN" w:bidi="ar"/>
        </w:rPr>
        <w:t>第八条</w:t>
      </w:r>
      <w:r>
        <w:rPr>
          <w:rFonts w:hint="eastAsia" w:ascii="楷体_GB2312" w:hAnsi="楷体_GB2312" w:eastAsia="楷体_GB2312" w:cs="楷体_GB2312"/>
          <w:color w:val="auto"/>
          <w:kern w:val="0"/>
          <w:sz w:val="32"/>
          <w:szCs w:val="32"/>
          <w:highlight w:val="none"/>
          <w:u w:val="none"/>
          <w:lang w:val="en-US" w:eastAsia="zh-CN" w:bidi="ar"/>
        </w:rPr>
        <w:t xml:space="preserve"> </w:t>
      </w:r>
      <w:r>
        <w:rPr>
          <w:rFonts w:hint="eastAsia" w:ascii="楷体_GB2312" w:hAnsi="楷体_GB2312" w:eastAsia="楷体_GB2312" w:cs="楷体_GB2312"/>
          <w:b/>
          <w:bCs/>
          <w:color w:val="auto"/>
          <w:kern w:val="0"/>
          <w:sz w:val="32"/>
          <w:szCs w:val="32"/>
          <w:highlight w:val="none"/>
          <w:u w:val="none"/>
          <w:lang w:val="en-US" w:eastAsia="zh-CN" w:bidi="ar"/>
        </w:rPr>
        <w:t>配送原则</w:t>
      </w:r>
      <w:r>
        <w:rPr>
          <w:rFonts w:hint="default" w:ascii="Times New Roman" w:hAnsi="Times New Roman" w:eastAsia="方正楷体_GB2312" w:cs="Times New Roman"/>
          <w:color w:val="auto"/>
          <w:kern w:val="0"/>
          <w:sz w:val="32"/>
          <w:szCs w:val="32"/>
          <w:highlight w:val="none"/>
          <w:u w:val="none"/>
          <w:lang w:val="en-US" w:eastAsia="zh-CN" w:bidi="ar"/>
        </w:rPr>
        <w:t xml:space="preserve"> </w:t>
      </w:r>
      <w:r>
        <w:rPr>
          <w:rFonts w:hint="default" w:ascii="Times New Roman" w:hAnsi="Times New Roman" w:eastAsia="仿宋_GB2312" w:cs="Times New Roman"/>
          <w:color w:val="auto"/>
          <w:kern w:val="0"/>
          <w:sz w:val="32"/>
          <w:szCs w:val="32"/>
          <w:highlight w:val="none"/>
          <w:u w:val="none"/>
          <w:lang w:val="en-US" w:eastAsia="zh-CN" w:bidi="ar"/>
        </w:rPr>
        <w:t>生产企业是保障产品质量和供应的第一责任人，并对其产品的质量、配送服务负主体责任。药品和医用耗材可由生产企业直接配送，也可委托有配送能力的配送企业进行配送。对于集采的药品和医用耗材配送企业，应当符合集采配送的相关规定。</w:t>
      </w:r>
    </w:p>
    <w:p>
      <w:pPr>
        <w:keepNext w:val="0"/>
        <w:keepLines w:val="0"/>
        <w:pageBreakBefore w:val="0"/>
        <w:widowControl w:val="0"/>
        <w:suppressLineNumbers w:val="0"/>
        <w:kinsoku/>
        <w:wordWrap w:val="0"/>
        <w:overflowPunct/>
        <w:topLinePunct/>
        <w:autoSpaceDE/>
        <w:autoSpaceDN/>
        <w:bidi w:val="0"/>
        <w:adjustRightInd/>
        <w:spacing w:line="640" w:lineRule="exact"/>
        <w:ind w:left="0" w:leftChars="0" w:firstLine="640" w:firstLineChars="200"/>
        <w:jc w:val="both"/>
        <w:textAlignment w:val="auto"/>
        <w:rPr>
          <w:rFonts w:hint="default" w:ascii="Times New Roman" w:hAnsi="Times New Roman" w:eastAsia="CESI仿宋-GB2312" w:cs="Times New Roman"/>
          <w:color w:val="auto"/>
          <w:kern w:val="0"/>
          <w:sz w:val="32"/>
          <w:szCs w:val="32"/>
          <w:highlight w:val="none"/>
          <w:u w:val="none"/>
          <w:lang w:val="en-US" w:eastAsia="zh-CN" w:bidi="ar"/>
        </w:rPr>
      </w:pPr>
      <w:r>
        <w:rPr>
          <w:rFonts w:hint="default" w:ascii="Times New Roman" w:hAnsi="Times New Roman" w:eastAsia="仿宋_GB2312" w:cs="Times New Roman"/>
          <w:color w:val="auto"/>
          <w:kern w:val="0"/>
          <w:sz w:val="32"/>
          <w:szCs w:val="32"/>
          <w:highlight w:val="none"/>
          <w:u w:val="none"/>
          <w:lang w:val="en-US" w:eastAsia="zh-CN" w:bidi="ar"/>
        </w:rPr>
        <w:t>生产企业自行配送的，只允许配送本企业产品；生产企业委托配送企业配送的，应在配送企业信息库中，按照不断提高服务质量和配送集中度的原则，在每个市州均应至少选定1家配送企业，签署配送协议</w:t>
      </w:r>
      <w:r>
        <w:rPr>
          <w:rFonts w:hint="eastAsia" w:eastAsia="仿宋_GB2312" w:cs="Times New Roman"/>
          <w:color w:val="auto"/>
          <w:kern w:val="0"/>
          <w:sz w:val="32"/>
          <w:szCs w:val="32"/>
          <w:highlight w:val="none"/>
          <w:u w:val="none"/>
          <w:lang w:val="en-US" w:eastAsia="zh-CN" w:bidi="ar"/>
        </w:rPr>
        <w:t>（配送协议应体现本文件相关要求）</w:t>
      </w:r>
      <w:r>
        <w:rPr>
          <w:rFonts w:hint="default" w:ascii="Times New Roman" w:hAnsi="Times New Roman" w:eastAsia="仿宋_GB2312" w:cs="Times New Roman"/>
          <w:color w:val="auto"/>
          <w:kern w:val="0"/>
          <w:sz w:val="32"/>
          <w:szCs w:val="32"/>
          <w:highlight w:val="none"/>
          <w:u w:val="none"/>
          <w:lang w:val="en-US" w:eastAsia="zh-CN" w:bidi="ar"/>
        </w:rPr>
        <w:t>，建立配送服务关系；被选定的配送企业应当及时在网上响应、确认。</w:t>
      </w:r>
    </w:p>
    <w:p>
      <w:pPr>
        <w:keepNext w:val="0"/>
        <w:keepLines w:val="0"/>
        <w:pageBreakBefore w:val="0"/>
        <w:widowControl w:val="0"/>
        <w:numPr>
          <w:ilvl w:val="0"/>
          <w:numId w:val="0"/>
        </w:numPr>
        <w:suppressLineNumbers w:val="0"/>
        <w:kinsoku/>
        <w:wordWrap w:val="0"/>
        <w:overflowPunct/>
        <w:topLinePunct/>
        <w:autoSpaceDE/>
        <w:autoSpaceDN/>
        <w:bidi w:val="0"/>
        <w:adjustRightInd/>
        <w:spacing w:line="640" w:lineRule="exact"/>
        <w:ind w:left="0" w:leftChars="0" w:firstLine="640" w:firstLineChars="200"/>
        <w:jc w:val="both"/>
        <w:textAlignment w:val="auto"/>
        <w:rPr>
          <w:rFonts w:hint="default" w:ascii="Times New Roman" w:hAnsi="Times New Roman" w:eastAsia="仿宋_GB2312" w:cs="Times New Roman"/>
          <w:color w:val="auto"/>
          <w:sz w:val="32"/>
          <w:szCs w:val="32"/>
          <w:highlight w:val="none"/>
          <w:u w:val="none"/>
          <w:lang w:val="en-US" w:eastAsia="zh-CN"/>
        </w:rPr>
      </w:pPr>
      <w:r>
        <w:rPr>
          <w:rFonts w:hint="eastAsia" w:ascii="楷体_GB2312" w:hAnsi="楷体_GB2312" w:eastAsia="楷体_GB2312" w:cs="楷体_GB2312"/>
          <w:b w:val="0"/>
          <w:bCs w:val="0"/>
          <w:color w:val="auto"/>
          <w:kern w:val="0"/>
          <w:sz w:val="32"/>
          <w:szCs w:val="32"/>
          <w:highlight w:val="none"/>
          <w:u w:val="none"/>
          <w:lang w:val="en-US" w:eastAsia="zh-CN" w:bidi="ar"/>
        </w:rPr>
        <w:t xml:space="preserve">第九条 </w:t>
      </w:r>
      <w:r>
        <w:rPr>
          <w:rFonts w:hint="eastAsia" w:ascii="楷体_GB2312" w:hAnsi="楷体_GB2312" w:eastAsia="楷体_GB2312" w:cs="楷体_GB2312"/>
          <w:b/>
          <w:bCs/>
          <w:color w:val="auto"/>
          <w:kern w:val="0"/>
          <w:sz w:val="32"/>
          <w:szCs w:val="32"/>
          <w:highlight w:val="none"/>
          <w:u w:val="none"/>
          <w:lang w:val="en-US" w:eastAsia="zh-CN" w:bidi="ar"/>
        </w:rPr>
        <w:t>配送解除</w:t>
      </w:r>
      <w:r>
        <w:rPr>
          <w:rFonts w:hint="default" w:ascii="Times New Roman" w:hAnsi="Times New Roman" w:eastAsia="方正楷体_GB2312" w:cs="Times New Roman"/>
          <w:b/>
          <w:bCs/>
          <w:color w:val="auto"/>
          <w:kern w:val="0"/>
          <w:sz w:val="32"/>
          <w:szCs w:val="32"/>
          <w:highlight w:val="none"/>
          <w:u w:val="none"/>
          <w:lang w:val="en-US" w:eastAsia="zh-CN" w:bidi="ar"/>
        </w:rPr>
        <w:t xml:space="preserve"> </w:t>
      </w:r>
      <w:r>
        <w:rPr>
          <w:rFonts w:hint="default" w:ascii="Times New Roman" w:hAnsi="Times New Roman" w:eastAsia="仿宋_GB2312" w:cs="Times New Roman"/>
          <w:color w:val="auto"/>
          <w:kern w:val="0"/>
          <w:sz w:val="32"/>
          <w:szCs w:val="32"/>
          <w:highlight w:val="none"/>
          <w:u w:val="none"/>
          <w:lang w:val="en-US" w:eastAsia="zh-CN" w:bidi="ar"/>
        </w:rPr>
        <w:t>配送关系确认后，原则上需双方确认后方可更改。若三个月内配送企业订单响应率或及时率低于50%的，生产企业可单方面解除配送关系。确因配送企业无法正常经营、协议到期或法律纠纷等原因，不能继续达成配送关系开展配送的，由生产企业通过平台提交申请，可重新选择配送企业。原配送企业应配合移交未完成</w:t>
      </w:r>
      <w:r>
        <w:rPr>
          <w:rFonts w:hint="default" w:ascii="Times New Roman" w:hAnsi="Times New Roman" w:eastAsia="仿宋_GB2312" w:cs="Times New Roman"/>
          <w:color w:val="auto"/>
          <w:sz w:val="32"/>
          <w:szCs w:val="32"/>
          <w:highlight w:val="none"/>
          <w:u w:val="none"/>
          <w:lang w:val="en-US" w:eastAsia="zh-CN"/>
        </w:rPr>
        <w:t>订单及库存数据，确保供应不间断。</w:t>
      </w:r>
    </w:p>
    <w:p>
      <w:pPr>
        <w:keepNext w:val="0"/>
        <w:keepLines w:val="0"/>
        <w:pageBreakBefore w:val="0"/>
        <w:widowControl w:val="0"/>
        <w:numPr>
          <w:ilvl w:val="0"/>
          <w:numId w:val="0"/>
        </w:numPr>
        <w:suppressLineNumbers w:val="0"/>
        <w:kinsoku/>
        <w:wordWrap w:val="0"/>
        <w:overflowPunct/>
        <w:topLinePunct/>
        <w:autoSpaceDE/>
        <w:autoSpaceDN/>
        <w:bidi w:val="0"/>
        <w:adjustRightInd/>
        <w:spacing w:line="640" w:lineRule="exact"/>
        <w:ind w:firstLine="640" w:firstLineChars="200"/>
        <w:jc w:val="both"/>
        <w:textAlignment w:val="auto"/>
        <w:rPr>
          <w:rFonts w:hint="default" w:ascii="Times New Roman" w:hAnsi="Times New Roman" w:eastAsia="仿宋_GB2312" w:cs="Times New Roman"/>
          <w:color w:val="auto"/>
          <w:kern w:val="0"/>
          <w:sz w:val="32"/>
          <w:szCs w:val="32"/>
          <w:highlight w:val="none"/>
          <w:u w:val="none"/>
          <w:lang w:val="en-US" w:eastAsia="zh-CN" w:bidi="ar"/>
        </w:rPr>
      </w:pPr>
      <w:r>
        <w:rPr>
          <w:rFonts w:hint="eastAsia" w:ascii="楷体_GB2312" w:hAnsi="楷体_GB2312" w:eastAsia="楷体_GB2312" w:cs="楷体_GB2312"/>
          <w:b w:val="0"/>
          <w:bCs w:val="0"/>
          <w:color w:val="auto"/>
          <w:kern w:val="0"/>
          <w:sz w:val="32"/>
          <w:szCs w:val="32"/>
          <w:highlight w:val="none"/>
          <w:u w:val="none"/>
          <w:lang w:val="en-US" w:eastAsia="zh-CN" w:bidi="ar"/>
        </w:rPr>
        <w:t xml:space="preserve">第十条 </w:t>
      </w:r>
      <w:r>
        <w:rPr>
          <w:rFonts w:hint="eastAsia" w:ascii="楷体_GB2312" w:hAnsi="楷体_GB2312" w:eastAsia="楷体_GB2312" w:cs="楷体_GB2312"/>
          <w:b/>
          <w:bCs/>
          <w:color w:val="auto"/>
          <w:kern w:val="0"/>
          <w:sz w:val="32"/>
          <w:szCs w:val="32"/>
          <w:highlight w:val="none"/>
          <w:u w:val="none"/>
          <w:lang w:val="en-US" w:eastAsia="zh-CN" w:bidi="ar"/>
        </w:rPr>
        <w:t>采购要求</w:t>
      </w:r>
      <w:r>
        <w:rPr>
          <w:rFonts w:hint="default" w:ascii="Times New Roman" w:hAnsi="Times New Roman" w:eastAsia="仿宋_GB2312" w:cs="Times New Roman"/>
          <w:color w:val="auto"/>
          <w:kern w:val="0"/>
          <w:sz w:val="32"/>
          <w:szCs w:val="32"/>
          <w:highlight w:val="none"/>
          <w:u w:val="none"/>
          <w:lang w:val="en-US" w:eastAsia="zh-CN" w:bidi="ar"/>
        </w:rPr>
        <w:t xml:space="preserve"> 医疗机构应在湖南省医药采购平台有计划地下单采购医药产品，并选择生产企业确认建立配送关系的企业提供配送服务。通常情况下，一周内，三级医院对同一配送公司下单一般不超过3次，二级医院一般不超过2次，街道社区卫生服务中心、乡镇卫生院、</w:t>
      </w:r>
      <w:r>
        <w:rPr>
          <w:rFonts w:hint="eastAsia" w:eastAsia="仿宋_GB2312" w:cs="Times New Roman"/>
          <w:color w:val="auto"/>
          <w:kern w:val="0"/>
          <w:sz w:val="32"/>
          <w:szCs w:val="32"/>
          <w:highlight w:val="none"/>
          <w:u w:val="none"/>
          <w:lang w:val="en-US" w:eastAsia="zh-CN" w:bidi="ar"/>
        </w:rPr>
        <w:t>村卫生室、</w:t>
      </w:r>
      <w:r>
        <w:rPr>
          <w:rFonts w:hint="default" w:ascii="Times New Roman" w:hAnsi="Times New Roman" w:eastAsia="仿宋_GB2312" w:cs="Times New Roman"/>
          <w:color w:val="auto"/>
          <w:kern w:val="0"/>
          <w:sz w:val="32"/>
          <w:szCs w:val="32"/>
          <w:highlight w:val="none"/>
          <w:u w:val="none"/>
          <w:lang w:val="en-US" w:eastAsia="zh-CN" w:bidi="ar"/>
        </w:rPr>
        <w:t>诊所和药店</w:t>
      </w:r>
      <w:r>
        <w:rPr>
          <w:rFonts w:hint="eastAsia" w:eastAsia="仿宋_GB2312" w:cs="Times New Roman"/>
          <w:color w:val="auto"/>
          <w:kern w:val="0"/>
          <w:sz w:val="32"/>
          <w:szCs w:val="32"/>
          <w:highlight w:val="none"/>
          <w:u w:val="none"/>
          <w:lang w:val="en-US" w:eastAsia="zh-CN" w:bidi="ar"/>
        </w:rPr>
        <w:t>等</w:t>
      </w:r>
      <w:r>
        <w:rPr>
          <w:rFonts w:hint="default" w:ascii="Times New Roman" w:hAnsi="Times New Roman" w:eastAsia="仿宋_GB2312" w:cs="Times New Roman"/>
          <w:color w:val="auto"/>
          <w:kern w:val="0"/>
          <w:sz w:val="32"/>
          <w:szCs w:val="32"/>
          <w:highlight w:val="none"/>
          <w:u w:val="none"/>
          <w:lang w:val="en-US" w:eastAsia="zh-CN" w:bidi="ar"/>
        </w:rPr>
        <w:t>一般不超过1次（急抢救药品及医用耗材除外），确有必要可酌情增加。医疗机构发送的采购订单，配送企业应在24小时内确认（急抢救药品及医用耗材含节假日时间，其他不含节假日）。医疗机构收货验收合格后，</w:t>
      </w:r>
      <w:r>
        <w:rPr>
          <w:rFonts w:hint="default" w:ascii="Times New Roman" w:hAnsi="Times New Roman" w:eastAsia="仿宋_GB2312" w:cs="Times New Roman"/>
          <w:color w:val="auto"/>
          <w:sz w:val="32"/>
          <w:szCs w:val="32"/>
          <w:u w:val="none"/>
          <w:lang w:eastAsia="zh-CN"/>
        </w:rPr>
        <w:t>应在配送企业及时上传</w:t>
      </w:r>
      <w:r>
        <w:rPr>
          <w:rFonts w:hint="default" w:ascii="Times New Roman" w:hAnsi="Times New Roman" w:eastAsia="仿宋_GB2312" w:cs="Times New Roman"/>
          <w:color w:val="auto"/>
          <w:sz w:val="32"/>
          <w:szCs w:val="32"/>
          <w:u w:val="none"/>
          <w:lang w:val="en-US" w:eastAsia="zh-CN"/>
        </w:rPr>
        <w:t>相关票据</w:t>
      </w:r>
      <w:r>
        <w:rPr>
          <w:rFonts w:hint="default" w:ascii="Times New Roman" w:hAnsi="Times New Roman" w:eastAsia="仿宋_GB2312" w:cs="Times New Roman"/>
          <w:color w:val="auto"/>
          <w:sz w:val="32"/>
          <w:szCs w:val="32"/>
          <w:u w:val="none"/>
          <w:lang w:eastAsia="zh-CN"/>
        </w:rPr>
        <w:t>后，</w:t>
      </w:r>
      <w:r>
        <w:rPr>
          <w:rFonts w:hint="default" w:ascii="Times New Roman" w:hAnsi="Times New Roman" w:eastAsia="仿宋_GB2312" w:cs="Times New Roman"/>
          <w:color w:val="auto"/>
          <w:kern w:val="0"/>
          <w:sz w:val="32"/>
          <w:szCs w:val="32"/>
          <w:highlight w:val="none"/>
          <w:u w:val="none"/>
          <w:lang w:val="en-US" w:eastAsia="zh-CN" w:bidi="ar"/>
        </w:rPr>
        <w:t xml:space="preserve">3日内完成入库并在医保招采管理系统上完成操作。 </w:t>
      </w:r>
    </w:p>
    <w:p>
      <w:pPr>
        <w:keepNext w:val="0"/>
        <w:keepLines w:val="0"/>
        <w:pageBreakBefore w:val="0"/>
        <w:widowControl w:val="0"/>
        <w:suppressLineNumbers w:val="0"/>
        <w:kinsoku/>
        <w:wordWrap w:val="0"/>
        <w:overflowPunct/>
        <w:topLinePunct/>
        <w:autoSpaceDE/>
        <w:autoSpaceDN/>
        <w:bidi w:val="0"/>
        <w:adjustRightInd/>
        <w:spacing w:line="640" w:lineRule="exact"/>
        <w:ind w:left="0" w:leftChars="0" w:firstLine="640" w:firstLineChars="200"/>
        <w:jc w:val="both"/>
        <w:textAlignment w:val="auto"/>
        <w:rPr>
          <w:rFonts w:hint="default" w:ascii="Times New Roman" w:hAnsi="Times New Roman" w:eastAsia="仿宋_GB2312" w:cs="Times New Roman"/>
          <w:color w:val="auto"/>
          <w:kern w:val="0"/>
          <w:sz w:val="32"/>
          <w:szCs w:val="32"/>
          <w:highlight w:val="none"/>
          <w:u w:val="none"/>
          <w:lang w:val="en-US" w:eastAsia="zh-CN" w:bidi="ar"/>
        </w:rPr>
      </w:pPr>
      <w:r>
        <w:rPr>
          <w:rFonts w:hint="eastAsia" w:ascii="楷体_GB2312" w:hAnsi="楷体_GB2312" w:eastAsia="楷体_GB2312" w:cs="楷体_GB2312"/>
          <w:b w:val="0"/>
          <w:bCs w:val="0"/>
          <w:color w:val="auto"/>
          <w:kern w:val="0"/>
          <w:sz w:val="32"/>
          <w:szCs w:val="32"/>
          <w:highlight w:val="none"/>
          <w:u w:val="none"/>
          <w:lang w:val="en-US" w:eastAsia="zh-CN" w:bidi="ar"/>
        </w:rPr>
        <w:t xml:space="preserve">第十一条 </w:t>
      </w:r>
      <w:r>
        <w:rPr>
          <w:rFonts w:hint="eastAsia" w:ascii="楷体_GB2312" w:hAnsi="楷体_GB2312" w:eastAsia="楷体_GB2312" w:cs="楷体_GB2312"/>
          <w:b/>
          <w:bCs/>
          <w:color w:val="auto"/>
          <w:kern w:val="0"/>
          <w:sz w:val="32"/>
          <w:szCs w:val="32"/>
          <w:highlight w:val="none"/>
          <w:u w:val="none"/>
          <w:lang w:val="en-US" w:eastAsia="zh-CN" w:bidi="ar"/>
        </w:rPr>
        <w:t>配送时限</w:t>
      </w:r>
      <w:r>
        <w:rPr>
          <w:rFonts w:hint="default" w:ascii="Times New Roman" w:hAnsi="Times New Roman" w:eastAsia="CESI仿宋-GB2312" w:cs="Times New Roman"/>
          <w:b/>
          <w:bCs/>
          <w:color w:val="auto"/>
          <w:kern w:val="0"/>
          <w:sz w:val="32"/>
          <w:szCs w:val="32"/>
          <w:highlight w:val="none"/>
          <w:u w:val="none"/>
          <w:lang w:val="en-US" w:eastAsia="zh-CN" w:bidi="ar"/>
        </w:rPr>
        <w:t xml:space="preserve"> </w:t>
      </w:r>
      <w:r>
        <w:rPr>
          <w:rFonts w:hint="default" w:ascii="Times New Roman" w:hAnsi="Times New Roman" w:eastAsia="仿宋_GB2312" w:cs="Times New Roman"/>
          <w:color w:val="auto"/>
          <w:kern w:val="0"/>
          <w:sz w:val="32"/>
          <w:szCs w:val="32"/>
          <w:highlight w:val="none"/>
          <w:u w:val="none"/>
          <w:lang w:val="en-US" w:eastAsia="zh-CN" w:bidi="ar"/>
        </w:rPr>
        <w:t>配送企业应按时完成配送。除不可抗力原因外，对于签订有定期定量采购合同的药品或医用耗材，不论医疗机构路程远近、采购量及金额，都应按时保质保量供货到位。</w:t>
      </w:r>
      <w:r>
        <w:rPr>
          <w:rFonts w:hint="default" w:ascii="Times New Roman" w:hAnsi="Times New Roman" w:eastAsia="仿宋_GB2312" w:cs="Times New Roman"/>
          <w:strike w:val="0"/>
          <w:dstrike w:val="0"/>
          <w:color w:val="auto"/>
          <w:kern w:val="0"/>
          <w:sz w:val="32"/>
          <w:szCs w:val="32"/>
          <w:highlight w:val="none"/>
          <w:u w:val="none"/>
          <w:lang w:val="en-US" w:eastAsia="zh-CN" w:bidi="ar"/>
        </w:rPr>
        <w:t>自确认订单时间起算，急抢救药品、急抢救需使用的医用耗材12小时内送到，偏远乡镇（原则上为距县城50公里以上）24小时内送到，节假日照常配送；一般药品和医用耗材，应在订单确认后48小时内送到（不含节假日）</w:t>
      </w:r>
      <w:r>
        <w:rPr>
          <w:rFonts w:hint="default" w:ascii="Times New Roman" w:hAnsi="Times New Roman" w:eastAsia="仿宋_GB2312" w:cs="Times New Roman"/>
          <w:color w:val="auto"/>
          <w:kern w:val="0"/>
          <w:sz w:val="32"/>
          <w:szCs w:val="32"/>
          <w:highlight w:val="none"/>
          <w:u w:val="none"/>
          <w:lang w:val="en-US" w:eastAsia="zh-CN" w:bidi="ar"/>
        </w:rPr>
        <w:t>。配送企业与医疗机构应在不晚于以上配送时限要求的前提下，约定配送时限等要求。</w:t>
      </w:r>
      <w:r>
        <w:rPr>
          <w:rFonts w:hint="default" w:ascii="Times New Roman" w:hAnsi="Times New Roman" w:eastAsia="仿宋_GB2312" w:cs="Times New Roman"/>
          <w:color w:val="auto"/>
          <w:kern w:val="0"/>
          <w:sz w:val="32"/>
          <w:szCs w:val="32"/>
          <w:u w:val="none"/>
          <w:lang w:eastAsia="zh-CN" w:bidi="ar"/>
        </w:rPr>
        <w:t>除不可抗力因素导致的拖延交货</w:t>
      </w:r>
      <w:r>
        <w:rPr>
          <w:rFonts w:hint="default" w:ascii="Times New Roman" w:hAnsi="Times New Roman" w:eastAsia="仿宋_GB2312" w:cs="Times New Roman"/>
          <w:color w:val="auto"/>
          <w:kern w:val="0"/>
          <w:sz w:val="32"/>
          <w:szCs w:val="32"/>
          <w:u w:val="none"/>
          <w:lang w:val="en-US" w:eastAsia="zh-CN" w:bidi="ar"/>
        </w:rPr>
        <w:t>外</w:t>
      </w:r>
      <w:r>
        <w:rPr>
          <w:rFonts w:hint="default" w:ascii="Times New Roman" w:hAnsi="Times New Roman" w:eastAsia="仿宋_GB2312" w:cs="Times New Roman"/>
          <w:color w:val="auto"/>
          <w:kern w:val="0"/>
          <w:sz w:val="32"/>
          <w:szCs w:val="32"/>
          <w:u w:val="none"/>
          <w:lang w:eastAsia="zh-CN" w:bidi="ar"/>
        </w:rPr>
        <w:t>，配送企业根据签订的配送合同承担违约责任。</w:t>
      </w:r>
    </w:p>
    <w:p>
      <w:pPr>
        <w:keepNext w:val="0"/>
        <w:keepLines w:val="0"/>
        <w:pageBreakBefore w:val="0"/>
        <w:widowControl w:val="0"/>
        <w:suppressLineNumbers w:val="0"/>
        <w:kinsoku/>
        <w:wordWrap w:val="0"/>
        <w:overflowPunct/>
        <w:topLinePunct/>
        <w:autoSpaceDE/>
        <w:autoSpaceDN/>
        <w:bidi w:val="0"/>
        <w:adjustRightInd/>
        <w:spacing w:line="640" w:lineRule="exact"/>
        <w:ind w:left="0" w:leftChars="0" w:firstLine="640" w:firstLineChars="200"/>
        <w:jc w:val="both"/>
        <w:textAlignment w:val="auto"/>
        <w:rPr>
          <w:rFonts w:hint="default" w:ascii="Times New Roman" w:hAnsi="Times New Roman" w:eastAsia="CESI仿宋-GB2312" w:cs="Times New Roman"/>
          <w:color w:val="auto"/>
          <w:kern w:val="0"/>
          <w:sz w:val="32"/>
          <w:szCs w:val="32"/>
          <w:highlight w:val="none"/>
          <w:u w:val="none"/>
          <w:lang w:val="en-US" w:eastAsia="zh-CN" w:bidi="ar"/>
        </w:rPr>
      </w:pPr>
      <w:r>
        <w:rPr>
          <w:rFonts w:hint="eastAsia" w:ascii="楷体_GB2312" w:hAnsi="楷体_GB2312" w:eastAsia="楷体_GB2312" w:cs="楷体_GB2312"/>
          <w:b w:val="0"/>
          <w:bCs w:val="0"/>
          <w:color w:val="auto"/>
          <w:kern w:val="0"/>
          <w:sz w:val="32"/>
          <w:szCs w:val="32"/>
          <w:highlight w:val="none"/>
          <w:u w:val="none"/>
          <w:lang w:val="en-US" w:eastAsia="zh-CN" w:bidi="ar"/>
        </w:rPr>
        <w:t xml:space="preserve">第十二条 </w:t>
      </w:r>
      <w:r>
        <w:rPr>
          <w:rFonts w:hint="eastAsia" w:ascii="楷体_GB2312" w:hAnsi="楷体_GB2312" w:eastAsia="楷体_GB2312" w:cs="楷体_GB2312"/>
          <w:b/>
          <w:bCs/>
          <w:color w:val="auto"/>
          <w:kern w:val="0"/>
          <w:sz w:val="32"/>
          <w:szCs w:val="32"/>
          <w:highlight w:val="none"/>
          <w:u w:val="none"/>
          <w:lang w:val="en-US" w:eastAsia="zh-CN" w:bidi="ar"/>
        </w:rPr>
        <w:t>配送要求</w:t>
      </w:r>
      <w:r>
        <w:rPr>
          <w:rFonts w:hint="default" w:ascii="Times New Roman" w:hAnsi="Times New Roman" w:eastAsia="CESI仿宋-GB2312" w:cs="Times New Roman"/>
          <w:b/>
          <w:bCs/>
          <w:color w:val="auto"/>
          <w:kern w:val="0"/>
          <w:sz w:val="32"/>
          <w:szCs w:val="32"/>
          <w:highlight w:val="none"/>
          <w:u w:val="none"/>
          <w:lang w:val="en-US" w:eastAsia="zh-CN" w:bidi="ar"/>
        </w:rPr>
        <w:t xml:space="preserve"> </w:t>
      </w:r>
      <w:r>
        <w:rPr>
          <w:rFonts w:hint="default" w:ascii="Times New Roman" w:hAnsi="Times New Roman" w:eastAsia="仿宋_GB2312" w:cs="Times New Roman"/>
          <w:color w:val="auto"/>
          <w:kern w:val="0"/>
          <w:sz w:val="32"/>
          <w:szCs w:val="32"/>
          <w:highlight w:val="none"/>
          <w:u w:val="none"/>
          <w:lang w:val="en-US" w:eastAsia="zh-CN" w:bidi="ar"/>
        </w:rPr>
        <w:t>配送企业应当按照药品监督管理有关法律法规规章及货物运输要求，配送药品或医用耗材到发票所列明的医疗机构。产品必须与订单信息一致，每一批应附质量检验报告和合格证明。包装、标签和包装箱内外的单据应符合相关法律法规的要求及购销合同的约定。</w:t>
      </w:r>
    </w:p>
    <w:p>
      <w:pPr>
        <w:keepNext w:val="0"/>
        <w:keepLines w:val="0"/>
        <w:pageBreakBefore w:val="0"/>
        <w:widowControl w:val="0"/>
        <w:suppressLineNumbers w:val="0"/>
        <w:kinsoku/>
        <w:wordWrap w:val="0"/>
        <w:overflowPunct/>
        <w:topLinePunct/>
        <w:autoSpaceDE/>
        <w:autoSpaceDN/>
        <w:bidi w:val="0"/>
        <w:adjustRightInd/>
        <w:spacing w:line="640" w:lineRule="exact"/>
        <w:ind w:left="0" w:leftChars="0" w:firstLine="640" w:firstLineChars="200"/>
        <w:jc w:val="both"/>
        <w:textAlignment w:val="auto"/>
        <w:rPr>
          <w:rFonts w:hint="default" w:ascii="Times New Roman" w:hAnsi="Times New Roman" w:eastAsia="仿宋_GB2312" w:cs="Times New Roman"/>
          <w:color w:val="auto"/>
          <w:sz w:val="32"/>
          <w:szCs w:val="32"/>
          <w:highlight w:val="none"/>
          <w:u w:val="none"/>
        </w:rPr>
      </w:pPr>
      <w:r>
        <w:rPr>
          <w:rFonts w:hint="eastAsia" w:ascii="楷体_GB2312" w:hAnsi="楷体_GB2312" w:eastAsia="楷体_GB2312" w:cs="楷体_GB2312"/>
          <w:b w:val="0"/>
          <w:bCs w:val="0"/>
          <w:color w:val="auto"/>
          <w:kern w:val="0"/>
          <w:sz w:val="32"/>
          <w:szCs w:val="32"/>
          <w:highlight w:val="none"/>
          <w:u w:val="none"/>
          <w:lang w:val="en-US" w:eastAsia="zh-CN" w:bidi="ar"/>
        </w:rPr>
        <w:t xml:space="preserve">第十三条 </w:t>
      </w:r>
      <w:r>
        <w:rPr>
          <w:rFonts w:hint="eastAsia" w:ascii="楷体_GB2312" w:hAnsi="楷体_GB2312" w:eastAsia="楷体_GB2312" w:cs="楷体_GB2312"/>
          <w:b/>
          <w:bCs/>
          <w:color w:val="auto"/>
          <w:kern w:val="0"/>
          <w:sz w:val="32"/>
          <w:szCs w:val="32"/>
          <w:highlight w:val="none"/>
          <w:u w:val="none"/>
          <w:lang w:val="en-US" w:eastAsia="zh-CN" w:bidi="ar"/>
        </w:rPr>
        <w:t>医院验收</w:t>
      </w:r>
      <w:r>
        <w:rPr>
          <w:rFonts w:hint="default" w:ascii="Times New Roman" w:hAnsi="Times New Roman" w:eastAsia="CESI仿宋-GB2312" w:cs="Times New Roman"/>
          <w:color w:val="auto"/>
          <w:kern w:val="0"/>
          <w:sz w:val="32"/>
          <w:szCs w:val="32"/>
          <w:highlight w:val="none"/>
          <w:u w:val="none"/>
          <w:lang w:val="en-US" w:eastAsia="zh-CN" w:bidi="ar"/>
        </w:rPr>
        <w:t xml:space="preserve"> </w:t>
      </w:r>
      <w:r>
        <w:rPr>
          <w:rFonts w:hint="default" w:ascii="Times New Roman" w:hAnsi="Times New Roman" w:eastAsia="仿宋_GB2312" w:cs="Times New Roman"/>
          <w:color w:val="auto"/>
          <w:kern w:val="0"/>
          <w:sz w:val="32"/>
          <w:szCs w:val="32"/>
          <w:highlight w:val="none"/>
          <w:u w:val="none"/>
          <w:lang w:val="en-US" w:eastAsia="zh-CN" w:bidi="ar"/>
        </w:rPr>
        <w:t>医疗机构在接收配送产品时，应当场清点货品的整体整箱外包装（即大件包装）是否完好牢固，并书面确认供货数量。发现短少、破损、污染、异形等情形，或有其他不符合法律法规规定的情形，医疗机构有权拒绝接收，配送企业应及时更换被拒收的品种，并承担由此对医疗机构造成的损失。</w:t>
      </w:r>
    </w:p>
    <w:p>
      <w:pPr>
        <w:keepNext w:val="0"/>
        <w:keepLines w:val="0"/>
        <w:pageBreakBefore w:val="0"/>
        <w:widowControl w:val="0"/>
        <w:suppressLineNumbers w:val="0"/>
        <w:kinsoku/>
        <w:wordWrap w:val="0"/>
        <w:overflowPunct/>
        <w:topLinePunct/>
        <w:autoSpaceDE/>
        <w:autoSpaceDN/>
        <w:bidi w:val="0"/>
        <w:adjustRightInd/>
        <w:spacing w:line="640" w:lineRule="exact"/>
        <w:ind w:left="0" w:leftChars="0" w:firstLine="640" w:firstLineChars="200"/>
        <w:jc w:val="both"/>
        <w:textAlignment w:val="auto"/>
        <w:rPr>
          <w:rFonts w:hint="default" w:ascii="Times New Roman" w:hAnsi="Times New Roman" w:eastAsia="仿宋_GB2312" w:cs="Times New Roman"/>
          <w:color w:val="auto"/>
          <w:kern w:val="0"/>
          <w:sz w:val="32"/>
          <w:szCs w:val="32"/>
          <w:highlight w:val="none"/>
          <w:u w:val="none"/>
          <w:lang w:bidi="ar"/>
        </w:rPr>
      </w:pPr>
      <w:r>
        <w:rPr>
          <w:rFonts w:hint="eastAsia" w:ascii="楷体_GB2312" w:hAnsi="楷体_GB2312" w:eastAsia="楷体_GB2312" w:cs="楷体_GB2312"/>
          <w:b w:val="0"/>
          <w:bCs w:val="0"/>
          <w:color w:val="auto"/>
          <w:kern w:val="0"/>
          <w:sz w:val="32"/>
          <w:szCs w:val="32"/>
          <w:highlight w:val="none"/>
          <w:u w:val="none"/>
          <w:lang w:val="en-US" w:eastAsia="zh-CN" w:bidi="ar"/>
        </w:rPr>
        <w:t xml:space="preserve">第十四条 </w:t>
      </w:r>
      <w:r>
        <w:rPr>
          <w:rFonts w:hint="eastAsia" w:ascii="楷体_GB2312" w:hAnsi="楷体_GB2312" w:eastAsia="楷体_GB2312" w:cs="楷体_GB2312"/>
          <w:b/>
          <w:bCs/>
          <w:color w:val="auto"/>
          <w:kern w:val="0"/>
          <w:sz w:val="32"/>
          <w:szCs w:val="32"/>
          <w:highlight w:val="none"/>
          <w:u w:val="none"/>
          <w:lang w:val="en-US" w:eastAsia="zh-CN" w:bidi="ar"/>
        </w:rPr>
        <w:t>配送票据</w:t>
      </w:r>
      <w:r>
        <w:rPr>
          <w:rFonts w:hint="default" w:ascii="Times New Roman" w:hAnsi="Times New Roman" w:eastAsia="仿宋_GB2312" w:cs="Times New Roman"/>
          <w:b/>
          <w:bCs/>
          <w:color w:val="auto"/>
          <w:kern w:val="0"/>
          <w:sz w:val="32"/>
          <w:szCs w:val="32"/>
          <w:highlight w:val="none"/>
          <w:u w:val="none"/>
          <w:lang w:val="en-US" w:eastAsia="zh-CN" w:bidi="ar"/>
        </w:rPr>
        <w:t xml:space="preserve"> </w:t>
      </w:r>
      <w:r>
        <w:rPr>
          <w:rFonts w:hint="default" w:ascii="Times New Roman" w:hAnsi="Times New Roman" w:eastAsia="仿宋_GB2312" w:cs="Times New Roman"/>
          <w:color w:val="auto"/>
          <w:kern w:val="0"/>
          <w:sz w:val="32"/>
          <w:szCs w:val="32"/>
          <w:highlight w:val="none"/>
          <w:u w:val="none"/>
          <w:lang w:val="en-US" w:eastAsia="zh-CN" w:bidi="ar"/>
        </w:rPr>
        <w:t>配送企业配送药品或医用耗材时应做到货票同行，符合“两票制”要求的原则上第二票票据随货同行。第二票票据随货同行确有困难的，由配送企业与医疗机构双方协商</w:t>
      </w:r>
      <w:r>
        <w:rPr>
          <w:rFonts w:hint="default" w:ascii="Times New Roman" w:hAnsi="Times New Roman" w:eastAsia="仿宋_GB2312" w:cs="Times New Roman"/>
          <w:color w:val="auto"/>
          <w:spacing w:val="0"/>
          <w:kern w:val="0"/>
          <w:sz w:val="32"/>
          <w:szCs w:val="32"/>
          <w:highlight w:val="none"/>
          <w:u w:val="none"/>
          <w:lang w:val="en-US" w:eastAsia="zh-CN" w:bidi="ar"/>
        </w:rPr>
        <w:t>一致后确定，最迟应在药品或医用耗材验收入库之日起7日内补齐。</w:t>
      </w:r>
      <w:r>
        <w:rPr>
          <w:rFonts w:hint="default" w:ascii="Times New Roman" w:hAnsi="Times New Roman" w:eastAsia="仿宋_GB2312" w:cs="Times New Roman"/>
          <w:color w:val="auto"/>
          <w:kern w:val="0"/>
          <w:sz w:val="32"/>
          <w:szCs w:val="32"/>
          <w:highlight w:val="none"/>
          <w:u w:val="none"/>
          <w:lang w:val="en-US" w:eastAsia="zh-CN" w:bidi="ar"/>
        </w:rPr>
        <w:t xml:space="preserve"> </w:t>
      </w:r>
    </w:p>
    <w:p>
      <w:pPr>
        <w:keepNext w:val="0"/>
        <w:keepLines w:val="0"/>
        <w:pageBreakBefore w:val="0"/>
        <w:widowControl w:val="0"/>
        <w:suppressLineNumbers w:val="0"/>
        <w:kinsoku/>
        <w:wordWrap w:val="0"/>
        <w:overflowPunct/>
        <w:topLinePunct/>
        <w:autoSpaceDE/>
        <w:autoSpaceDN/>
        <w:bidi w:val="0"/>
        <w:adjustRightInd/>
        <w:spacing w:line="640" w:lineRule="exact"/>
        <w:ind w:left="0" w:leftChars="0" w:firstLine="640" w:firstLineChars="200"/>
        <w:jc w:val="both"/>
        <w:textAlignment w:val="auto"/>
        <w:rPr>
          <w:rFonts w:hint="default" w:ascii="Times New Roman" w:hAnsi="Times New Roman" w:eastAsia="仿宋_GB2312" w:cs="Times New Roman"/>
          <w:color w:val="auto"/>
          <w:kern w:val="0"/>
          <w:sz w:val="32"/>
          <w:szCs w:val="32"/>
          <w:highlight w:val="none"/>
          <w:u w:val="none"/>
          <w:lang w:val="en-US" w:eastAsia="zh-CN" w:bidi="ar"/>
        </w:rPr>
      </w:pPr>
      <w:r>
        <w:rPr>
          <w:rFonts w:hint="eastAsia" w:ascii="楷体_GB2312" w:hAnsi="楷体_GB2312" w:eastAsia="楷体_GB2312" w:cs="楷体_GB2312"/>
          <w:b w:val="0"/>
          <w:bCs w:val="0"/>
          <w:color w:val="auto"/>
          <w:kern w:val="0"/>
          <w:sz w:val="32"/>
          <w:szCs w:val="32"/>
          <w:highlight w:val="none"/>
          <w:u w:val="none"/>
          <w:lang w:val="en-US" w:eastAsia="zh-CN" w:bidi="ar"/>
        </w:rPr>
        <w:t xml:space="preserve">第十五条 </w:t>
      </w:r>
      <w:r>
        <w:rPr>
          <w:rFonts w:hint="eastAsia" w:ascii="楷体_GB2312" w:hAnsi="楷体_GB2312" w:eastAsia="楷体_GB2312" w:cs="楷体_GB2312"/>
          <w:b/>
          <w:bCs/>
          <w:color w:val="auto"/>
          <w:kern w:val="0"/>
          <w:sz w:val="32"/>
          <w:szCs w:val="32"/>
          <w:highlight w:val="none"/>
          <w:u w:val="none"/>
          <w:lang w:val="en-US" w:eastAsia="zh-CN" w:bidi="ar"/>
        </w:rPr>
        <w:t>货款结算</w:t>
      </w:r>
      <w:r>
        <w:rPr>
          <w:rFonts w:hint="default" w:ascii="Times New Roman" w:hAnsi="Times New Roman" w:eastAsia="仿宋_GB2312" w:cs="Times New Roman"/>
          <w:b/>
          <w:bCs/>
          <w:color w:val="auto"/>
          <w:kern w:val="0"/>
          <w:sz w:val="32"/>
          <w:szCs w:val="32"/>
          <w:highlight w:val="none"/>
          <w:u w:val="none"/>
          <w:lang w:val="en-US" w:eastAsia="zh-CN" w:bidi="ar"/>
        </w:rPr>
        <w:t xml:space="preserve"> </w:t>
      </w:r>
      <w:r>
        <w:rPr>
          <w:rFonts w:hint="default" w:ascii="Times New Roman" w:hAnsi="Times New Roman" w:eastAsia="仿宋_GB2312" w:cs="Times New Roman"/>
          <w:color w:val="auto"/>
          <w:kern w:val="0"/>
          <w:sz w:val="32"/>
          <w:szCs w:val="32"/>
          <w:highlight w:val="none"/>
          <w:u w:val="none"/>
          <w:lang w:val="en-US" w:eastAsia="zh-CN" w:bidi="ar"/>
        </w:rPr>
        <w:t>医疗机构承担采购结算主体责任，按药品、医用耗材购销合同与企业及时结清货款。除医保基金直接结算的药品、医用耗材货款外，其他集中采购药品、医用耗材货款结清时间按购销合同约定执行。基层医疗机构由卫生健康部门核算部门代付医药货款的，应主动做好衔接，保障工作连续性。原则上医药货款结算周期不超过3个月。</w:t>
      </w:r>
    </w:p>
    <w:p>
      <w:pPr>
        <w:keepNext w:val="0"/>
        <w:keepLines w:val="0"/>
        <w:pageBreakBefore w:val="0"/>
        <w:widowControl w:val="0"/>
        <w:suppressLineNumbers w:val="0"/>
        <w:kinsoku/>
        <w:wordWrap w:val="0"/>
        <w:overflowPunct/>
        <w:topLinePunct/>
        <w:autoSpaceDE/>
        <w:autoSpaceDN/>
        <w:bidi w:val="0"/>
        <w:adjustRightInd/>
        <w:spacing w:line="640" w:lineRule="exact"/>
        <w:ind w:left="0" w:leftChars="0" w:firstLine="640" w:firstLineChars="200"/>
        <w:jc w:val="both"/>
        <w:textAlignment w:val="auto"/>
        <w:rPr>
          <w:rFonts w:hint="default" w:ascii="Times New Roman" w:hAnsi="Times New Roman" w:eastAsia="仿宋_GB2312" w:cs="Times New Roman"/>
          <w:color w:val="auto"/>
          <w:sz w:val="32"/>
          <w:szCs w:val="32"/>
          <w:highlight w:val="none"/>
          <w:u w:val="none"/>
        </w:rPr>
      </w:pPr>
      <w:r>
        <w:rPr>
          <w:rFonts w:hint="eastAsia" w:ascii="楷体_GB2312" w:hAnsi="楷体_GB2312" w:eastAsia="楷体_GB2312" w:cs="楷体_GB2312"/>
          <w:b w:val="0"/>
          <w:bCs w:val="0"/>
          <w:color w:val="auto"/>
          <w:kern w:val="0"/>
          <w:sz w:val="32"/>
          <w:szCs w:val="32"/>
          <w:highlight w:val="none"/>
          <w:u w:val="none"/>
          <w:lang w:val="en-US" w:eastAsia="zh-CN" w:bidi="ar"/>
        </w:rPr>
        <w:t>第十六条</w:t>
      </w:r>
      <w:r>
        <w:rPr>
          <w:rFonts w:hint="eastAsia" w:ascii="楷体_GB2312" w:hAnsi="楷体_GB2312" w:eastAsia="楷体_GB2312" w:cs="楷体_GB2312"/>
          <w:b/>
          <w:bCs/>
          <w:color w:val="auto"/>
          <w:kern w:val="0"/>
          <w:sz w:val="32"/>
          <w:szCs w:val="32"/>
          <w:highlight w:val="none"/>
          <w:u w:val="none"/>
          <w:lang w:val="en-US" w:eastAsia="zh-CN" w:bidi="ar"/>
        </w:rPr>
        <w:t xml:space="preserve"> 保供要求</w:t>
      </w:r>
      <w:r>
        <w:rPr>
          <w:rFonts w:hint="default" w:ascii="Times New Roman" w:hAnsi="Times New Roman" w:eastAsia="仿宋_GB2312" w:cs="Times New Roman"/>
          <w:b/>
          <w:bCs/>
          <w:color w:val="auto"/>
          <w:kern w:val="0"/>
          <w:sz w:val="32"/>
          <w:szCs w:val="32"/>
          <w:highlight w:val="none"/>
          <w:u w:val="none"/>
          <w:lang w:val="en-US" w:eastAsia="zh-CN" w:bidi="ar"/>
        </w:rPr>
        <w:t xml:space="preserve"> </w:t>
      </w:r>
      <w:r>
        <w:rPr>
          <w:rFonts w:hint="default" w:ascii="Times New Roman" w:hAnsi="Times New Roman" w:eastAsia="仿宋_GB2312" w:cs="Times New Roman"/>
          <w:color w:val="auto"/>
          <w:kern w:val="0"/>
          <w:sz w:val="32"/>
          <w:szCs w:val="32"/>
          <w:highlight w:val="none"/>
          <w:u w:val="none"/>
          <w:lang w:val="en-US" w:eastAsia="zh-CN" w:bidi="ar"/>
        </w:rPr>
        <w:t xml:space="preserve">配送企业应有适量药品和医用耗材库存。根据医疗机构报量需求、季节性用药品和医用耗材高峰等做好保供预案。药品、医用耗材供求紧张或短缺时，应积极主动协调货源，确保临床供应。 </w:t>
      </w:r>
    </w:p>
    <w:p>
      <w:pPr>
        <w:keepNext w:val="0"/>
        <w:keepLines w:val="0"/>
        <w:pageBreakBefore w:val="0"/>
        <w:widowControl w:val="0"/>
        <w:numPr>
          <w:ilvl w:val="0"/>
          <w:numId w:val="0"/>
        </w:numPr>
        <w:suppressLineNumbers w:val="0"/>
        <w:kinsoku/>
        <w:wordWrap w:val="0"/>
        <w:overflowPunct/>
        <w:topLinePunct/>
        <w:autoSpaceDE/>
        <w:autoSpaceDN/>
        <w:bidi w:val="0"/>
        <w:adjustRightInd/>
        <w:spacing w:line="640" w:lineRule="exact"/>
        <w:jc w:val="both"/>
        <w:textAlignment w:val="auto"/>
        <w:outlineLvl w:val="0"/>
        <w:rPr>
          <w:rFonts w:hint="default" w:ascii="Times New Roman" w:hAnsi="Times New Roman" w:eastAsia="CESI仿宋-GB2312" w:cs="Times New Roman"/>
          <w:color w:val="auto"/>
          <w:kern w:val="0"/>
          <w:sz w:val="32"/>
          <w:szCs w:val="32"/>
          <w:highlight w:val="none"/>
          <w:u w:val="none"/>
          <w:lang w:val="en-US" w:eastAsia="zh-CN" w:bidi="ar"/>
        </w:rPr>
      </w:pPr>
    </w:p>
    <w:p>
      <w:pPr>
        <w:keepNext w:val="0"/>
        <w:keepLines w:val="0"/>
        <w:pageBreakBefore w:val="0"/>
        <w:widowControl w:val="0"/>
        <w:numPr>
          <w:ilvl w:val="0"/>
          <w:numId w:val="1"/>
        </w:numPr>
        <w:suppressLineNumbers w:val="0"/>
        <w:kinsoku/>
        <w:wordWrap w:val="0"/>
        <w:overflowPunct/>
        <w:topLinePunct/>
        <w:autoSpaceDE/>
        <w:autoSpaceDN/>
        <w:bidi w:val="0"/>
        <w:adjustRightInd/>
        <w:spacing w:line="640" w:lineRule="exact"/>
        <w:ind w:left="0" w:leftChars="0" w:firstLine="0" w:firstLineChars="0"/>
        <w:jc w:val="center"/>
        <w:textAlignment w:val="auto"/>
        <w:outlineLvl w:val="0"/>
        <w:rPr>
          <w:rFonts w:hint="default" w:ascii="Times New Roman" w:hAnsi="Times New Roman" w:eastAsia="黑体" w:cs="Times New Roman"/>
          <w:color w:val="auto"/>
          <w:kern w:val="0"/>
          <w:sz w:val="32"/>
          <w:szCs w:val="32"/>
          <w:highlight w:val="none"/>
          <w:u w:val="none"/>
          <w:lang w:val="en-US" w:eastAsia="zh-CN" w:bidi="ar"/>
        </w:rPr>
      </w:pPr>
      <w:r>
        <w:rPr>
          <w:rFonts w:hint="default" w:ascii="Times New Roman" w:hAnsi="Times New Roman" w:eastAsia="黑体" w:cs="Times New Roman"/>
          <w:color w:val="auto"/>
          <w:kern w:val="0"/>
          <w:sz w:val="32"/>
          <w:szCs w:val="32"/>
          <w:highlight w:val="none"/>
          <w:u w:val="none"/>
          <w:lang w:val="en-US" w:eastAsia="zh-CN" w:bidi="ar"/>
        </w:rPr>
        <w:t>配送服务评价</w:t>
      </w:r>
    </w:p>
    <w:p>
      <w:pPr>
        <w:pStyle w:val="3"/>
        <w:keepNext w:val="0"/>
        <w:keepLines w:val="0"/>
        <w:pageBreakBefore w:val="0"/>
        <w:widowControl w:val="0"/>
        <w:kinsoku/>
        <w:wordWrap w:val="0"/>
        <w:overflowPunct/>
        <w:topLinePunct/>
        <w:autoSpaceDE/>
        <w:autoSpaceDN/>
        <w:bidi w:val="0"/>
        <w:adjustRightInd/>
        <w:snapToGrid w:val="0"/>
        <w:spacing w:line="640" w:lineRule="exact"/>
        <w:ind w:left="0" w:leftChars="0" w:firstLine="640" w:firstLineChars="200"/>
        <w:jc w:val="both"/>
        <w:textAlignment w:val="auto"/>
        <w:rPr>
          <w:rFonts w:hint="default" w:ascii="Times New Roman" w:hAnsi="Times New Roman" w:eastAsia="仿宋_GB2312" w:cs="Times New Roman"/>
          <w:color w:val="auto"/>
          <w:kern w:val="0"/>
          <w:sz w:val="32"/>
          <w:szCs w:val="32"/>
          <w:highlight w:val="none"/>
          <w:u w:val="none"/>
          <w:lang w:val="en-US" w:eastAsia="zh-CN" w:bidi="ar"/>
        </w:rPr>
      </w:pPr>
      <w:r>
        <w:rPr>
          <w:rFonts w:hint="eastAsia" w:ascii="楷体_GB2312" w:hAnsi="楷体_GB2312" w:eastAsia="楷体_GB2312" w:cs="楷体_GB2312"/>
          <w:b w:val="0"/>
          <w:bCs w:val="0"/>
          <w:color w:val="auto"/>
          <w:kern w:val="0"/>
          <w:sz w:val="32"/>
          <w:szCs w:val="32"/>
          <w:highlight w:val="none"/>
          <w:u w:val="none"/>
          <w:lang w:val="en-US" w:eastAsia="zh-CN" w:bidi="ar"/>
        </w:rPr>
        <w:t>第十七条</w:t>
      </w:r>
      <w:r>
        <w:rPr>
          <w:rFonts w:hint="eastAsia" w:ascii="楷体_GB2312" w:hAnsi="楷体_GB2312" w:eastAsia="楷体_GB2312" w:cs="楷体_GB2312"/>
          <w:color w:val="auto"/>
          <w:kern w:val="0"/>
          <w:sz w:val="32"/>
          <w:szCs w:val="32"/>
          <w:highlight w:val="none"/>
          <w:u w:val="none"/>
          <w:lang w:val="en-US" w:eastAsia="zh-CN" w:bidi="ar"/>
        </w:rPr>
        <w:t xml:space="preserve"> </w:t>
      </w:r>
      <w:r>
        <w:rPr>
          <w:rFonts w:hint="eastAsia" w:ascii="楷体_GB2312" w:hAnsi="楷体_GB2312" w:eastAsia="楷体_GB2312" w:cs="楷体_GB2312"/>
          <w:b/>
          <w:bCs/>
          <w:color w:val="auto"/>
          <w:kern w:val="0"/>
          <w:sz w:val="32"/>
          <w:szCs w:val="32"/>
          <w:highlight w:val="none"/>
          <w:u w:val="none"/>
          <w:lang w:val="en-US" w:eastAsia="zh-CN" w:bidi="ar"/>
        </w:rPr>
        <w:t>评价维度</w:t>
      </w:r>
      <w:r>
        <w:rPr>
          <w:rFonts w:hint="default" w:ascii="Times New Roman" w:hAnsi="Times New Roman" w:eastAsia="CESI仿宋-GB2312" w:cs="Times New Roman"/>
          <w:color w:val="auto"/>
          <w:kern w:val="0"/>
          <w:sz w:val="32"/>
          <w:szCs w:val="32"/>
          <w:highlight w:val="none"/>
          <w:u w:val="none"/>
          <w:lang w:val="en-US" w:eastAsia="zh-CN" w:bidi="ar"/>
        </w:rPr>
        <w:t xml:space="preserve"> </w:t>
      </w:r>
      <w:r>
        <w:rPr>
          <w:rFonts w:hint="default" w:ascii="Times New Roman" w:hAnsi="Times New Roman" w:eastAsia="仿宋_GB2312" w:cs="Times New Roman"/>
          <w:color w:val="auto"/>
          <w:kern w:val="0"/>
          <w:sz w:val="32"/>
          <w:szCs w:val="32"/>
          <w:highlight w:val="none"/>
          <w:u w:val="none"/>
          <w:lang w:val="en-US" w:eastAsia="zh-CN" w:bidi="ar"/>
        </w:rPr>
        <w:t>建立配送服务评价制度，省、市两级医保部门重点围绕及时响应、供应配送能力、服务质量3个方面，从订单响应率、配送及时率、配送数量满足率、配送覆盖率、医疗机构满意度、医保部门评价6个维度进行评价。</w:t>
      </w:r>
    </w:p>
    <w:p>
      <w:pPr>
        <w:pStyle w:val="3"/>
        <w:keepNext w:val="0"/>
        <w:keepLines w:val="0"/>
        <w:pageBreakBefore w:val="0"/>
        <w:widowControl w:val="0"/>
        <w:kinsoku/>
        <w:wordWrap w:val="0"/>
        <w:overflowPunct/>
        <w:topLinePunct/>
        <w:autoSpaceDE/>
        <w:autoSpaceDN/>
        <w:bidi w:val="0"/>
        <w:adjustRightInd/>
        <w:snapToGrid w:val="0"/>
        <w:spacing w:line="640" w:lineRule="exact"/>
        <w:ind w:left="0" w:leftChars="0" w:firstLine="640" w:firstLineChars="200"/>
        <w:jc w:val="both"/>
        <w:textAlignment w:val="auto"/>
        <w:rPr>
          <w:rFonts w:hint="default" w:ascii="Times New Roman" w:hAnsi="Times New Roman" w:eastAsia="仿宋_GB2312" w:cs="Times New Roman"/>
          <w:color w:val="auto"/>
          <w:kern w:val="0"/>
          <w:sz w:val="32"/>
          <w:szCs w:val="32"/>
          <w:highlight w:val="none"/>
          <w:u w:val="none"/>
          <w:lang w:val="en-US" w:eastAsia="zh-CN" w:bidi="ar"/>
        </w:rPr>
      </w:pPr>
      <w:r>
        <w:rPr>
          <w:rFonts w:hint="eastAsia" w:ascii="楷体_GB2312" w:hAnsi="楷体_GB2312" w:eastAsia="楷体_GB2312" w:cs="楷体_GB2312"/>
          <w:b w:val="0"/>
          <w:bCs w:val="0"/>
          <w:color w:val="auto"/>
          <w:kern w:val="0"/>
          <w:sz w:val="32"/>
          <w:szCs w:val="32"/>
          <w:highlight w:val="none"/>
          <w:u w:val="none"/>
          <w:lang w:val="en-US" w:eastAsia="zh-CN" w:bidi="ar"/>
        </w:rPr>
        <w:t>第十八条</w:t>
      </w:r>
      <w:r>
        <w:rPr>
          <w:rFonts w:hint="eastAsia" w:ascii="楷体_GB2312" w:hAnsi="楷体_GB2312" w:eastAsia="楷体_GB2312" w:cs="楷体_GB2312"/>
          <w:color w:val="auto"/>
          <w:kern w:val="0"/>
          <w:sz w:val="32"/>
          <w:szCs w:val="32"/>
          <w:highlight w:val="none"/>
          <w:u w:val="none"/>
          <w:lang w:val="en-US" w:eastAsia="zh-CN" w:bidi="ar"/>
        </w:rPr>
        <w:t xml:space="preserve"> </w:t>
      </w:r>
      <w:r>
        <w:rPr>
          <w:rFonts w:hint="eastAsia" w:ascii="楷体_GB2312" w:hAnsi="楷体_GB2312" w:eastAsia="楷体_GB2312" w:cs="楷体_GB2312"/>
          <w:b/>
          <w:bCs/>
          <w:color w:val="auto"/>
          <w:kern w:val="0"/>
          <w:sz w:val="32"/>
          <w:szCs w:val="32"/>
          <w:highlight w:val="none"/>
          <w:u w:val="none"/>
          <w:lang w:val="en-US" w:eastAsia="zh-CN" w:bidi="ar"/>
        </w:rPr>
        <w:t>结果运用</w:t>
      </w:r>
      <w:r>
        <w:rPr>
          <w:rFonts w:hint="default" w:ascii="Times New Roman" w:hAnsi="Times New Roman" w:eastAsia="方正楷体_GB2312" w:cs="Times New Roman"/>
          <w:b/>
          <w:bCs/>
          <w:color w:val="auto"/>
          <w:kern w:val="0"/>
          <w:sz w:val="32"/>
          <w:szCs w:val="32"/>
          <w:highlight w:val="none"/>
          <w:u w:val="none"/>
          <w:lang w:val="en-US" w:eastAsia="zh-CN" w:bidi="ar"/>
        </w:rPr>
        <w:t xml:space="preserve"> </w:t>
      </w:r>
      <w:r>
        <w:rPr>
          <w:rFonts w:hint="default" w:ascii="Times New Roman" w:hAnsi="Times New Roman" w:eastAsia="仿宋_GB2312" w:cs="Times New Roman"/>
          <w:color w:val="auto"/>
          <w:kern w:val="0"/>
          <w:sz w:val="32"/>
          <w:szCs w:val="32"/>
          <w:highlight w:val="none"/>
          <w:u w:val="none"/>
          <w:lang w:val="en-US" w:eastAsia="zh-CN" w:bidi="ar"/>
        </w:rPr>
        <w:t>配送服务评价按季度组织，每季度按照相应指标规则进行打分，并加强结果运用。</w:t>
      </w:r>
    </w:p>
    <w:p>
      <w:pPr>
        <w:pStyle w:val="3"/>
        <w:keepNext w:val="0"/>
        <w:keepLines w:val="0"/>
        <w:pageBreakBefore w:val="0"/>
        <w:widowControl w:val="0"/>
        <w:kinsoku/>
        <w:wordWrap w:val="0"/>
        <w:overflowPunct/>
        <w:topLinePunct/>
        <w:autoSpaceDE/>
        <w:autoSpaceDN/>
        <w:bidi w:val="0"/>
        <w:adjustRightInd/>
        <w:snapToGrid w:val="0"/>
        <w:spacing w:line="640" w:lineRule="exact"/>
        <w:ind w:left="0" w:leftChars="0" w:firstLine="640" w:firstLineChars="200"/>
        <w:jc w:val="both"/>
        <w:textAlignment w:val="auto"/>
        <w:rPr>
          <w:rFonts w:hint="default" w:ascii="Times New Roman" w:hAnsi="Times New Roman" w:eastAsia="仿宋_GB2312" w:cs="Times New Roman"/>
          <w:color w:val="auto"/>
          <w:kern w:val="0"/>
          <w:sz w:val="32"/>
          <w:szCs w:val="32"/>
          <w:highlight w:val="none"/>
          <w:u w:val="none"/>
          <w:lang w:val="en-US" w:eastAsia="zh-CN" w:bidi="ar"/>
        </w:rPr>
      </w:pPr>
      <w:r>
        <w:rPr>
          <w:rFonts w:hint="default" w:ascii="Times New Roman" w:hAnsi="Times New Roman" w:eastAsia="仿宋_GB2312" w:cs="Times New Roman"/>
          <w:color w:val="auto"/>
          <w:kern w:val="0"/>
          <w:sz w:val="32"/>
          <w:szCs w:val="32"/>
          <w:highlight w:val="none"/>
          <w:u w:val="none"/>
          <w:lang w:val="en-US" w:eastAsia="zh-CN" w:bidi="ar"/>
        </w:rPr>
        <w:t>（一）季度提醒预警。季度合同订单响应率、配送及时率得分低于20分，或医疗卫生机构对配送服务不满意3次以上的，由市州医保部门对配送公司进行预警约谈，限期改正。</w:t>
      </w:r>
    </w:p>
    <w:p>
      <w:pPr>
        <w:pStyle w:val="3"/>
        <w:keepNext w:val="0"/>
        <w:keepLines w:val="0"/>
        <w:pageBreakBefore w:val="0"/>
        <w:widowControl w:val="0"/>
        <w:kinsoku/>
        <w:wordWrap w:val="0"/>
        <w:overflowPunct/>
        <w:topLinePunct/>
        <w:autoSpaceDE/>
        <w:autoSpaceDN/>
        <w:bidi w:val="0"/>
        <w:adjustRightInd/>
        <w:snapToGrid w:val="0"/>
        <w:spacing w:line="640" w:lineRule="exact"/>
        <w:ind w:left="0" w:leftChars="0" w:firstLine="640" w:firstLineChars="200"/>
        <w:jc w:val="both"/>
        <w:textAlignment w:val="auto"/>
        <w:rPr>
          <w:rFonts w:hint="default" w:ascii="Times New Roman" w:hAnsi="Times New Roman" w:eastAsia="仿宋_GB2312" w:cs="Times New Roman"/>
          <w:color w:val="auto"/>
          <w:kern w:val="0"/>
          <w:sz w:val="32"/>
          <w:szCs w:val="32"/>
          <w:highlight w:val="none"/>
          <w:u w:val="none"/>
          <w:lang w:val="en-US" w:eastAsia="zh-CN" w:bidi="ar"/>
        </w:rPr>
      </w:pPr>
      <w:r>
        <w:rPr>
          <w:rFonts w:hint="default" w:ascii="Times New Roman" w:hAnsi="Times New Roman" w:eastAsia="仿宋_GB2312" w:cs="Times New Roman"/>
          <w:color w:val="auto"/>
          <w:kern w:val="0"/>
          <w:sz w:val="32"/>
          <w:szCs w:val="32"/>
          <w:highlight w:val="none"/>
          <w:u w:val="none"/>
          <w:lang w:val="en-US" w:eastAsia="zh-CN" w:bidi="ar"/>
        </w:rPr>
        <w:t>（二）半年通报公示。市州医保部门每半年公开一次本辖区配送综合评价情况，对得分较低、不满意较多或限期改正成效不明显的进行重点列举。</w:t>
      </w:r>
    </w:p>
    <w:p>
      <w:pPr>
        <w:pStyle w:val="3"/>
        <w:keepNext w:val="0"/>
        <w:keepLines w:val="0"/>
        <w:pageBreakBefore w:val="0"/>
        <w:widowControl w:val="0"/>
        <w:kinsoku/>
        <w:wordWrap w:val="0"/>
        <w:overflowPunct/>
        <w:topLinePunct/>
        <w:autoSpaceDE/>
        <w:autoSpaceDN/>
        <w:bidi w:val="0"/>
        <w:adjustRightInd/>
        <w:snapToGrid w:val="0"/>
        <w:spacing w:line="640" w:lineRule="exact"/>
        <w:ind w:left="0" w:leftChars="0" w:firstLine="640" w:firstLineChars="200"/>
        <w:jc w:val="both"/>
        <w:textAlignment w:val="auto"/>
        <w:rPr>
          <w:rFonts w:hint="default" w:ascii="Times New Roman" w:hAnsi="Times New Roman" w:eastAsia="仿宋_GB2312" w:cs="Times New Roman"/>
          <w:color w:val="auto"/>
          <w:kern w:val="0"/>
          <w:sz w:val="32"/>
          <w:szCs w:val="32"/>
          <w:highlight w:val="none"/>
          <w:u w:val="none"/>
          <w:lang w:val="en-US" w:eastAsia="zh-CN" w:bidi="ar"/>
        </w:rPr>
      </w:pPr>
      <w:r>
        <w:rPr>
          <w:rFonts w:hint="default" w:ascii="Times New Roman" w:hAnsi="Times New Roman" w:eastAsia="仿宋_GB2312" w:cs="Times New Roman"/>
          <w:color w:val="auto"/>
          <w:kern w:val="0"/>
          <w:sz w:val="32"/>
          <w:szCs w:val="32"/>
          <w:highlight w:val="none"/>
          <w:u w:val="none"/>
          <w:lang w:val="en-US" w:eastAsia="zh-CN" w:bidi="ar"/>
        </w:rPr>
        <w:t>（三）年度风险提醒。对全年配送情况进行综合评价，年度周期内配送企业综合得分80分及以上的为重点推荐企业，次年度在医保招采管理系统标记为绿色标；60—79分的为合格企业，标记为蓝色标；60分以下为有配送风险企业，标记为黄色标。配送企业年度得分60分以下且在全省排名后20位，或上年度失信行为信用评级为“严重”“特别严重”等级的，为有重大配送风险企业，标记为红色标。</w:t>
      </w:r>
    </w:p>
    <w:p>
      <w:pPr>
        <w:pStyle w:val="3"/>
        <w:keepNext w:val="0"/>
        <w:keepLines w:val="0"/>
        <w:pageBreakBefore w:val="0"/>
        <w:widowControl w:val="0"/>
        <w:kinsoku/>
        <w:wordWrap w:val="0"/>
        <w:overflowPunct/>
        <w:topLinePunct/>
        <w:autoSpaceDE/>
        <w:autoSpaceDN/>
        <w:bidi w:val="0"/>
        <w:adjustRightInd/>
        <w:snapToGrid w:val="0"/>
        <w:spacing w:line="640" w:lineRule="exact"/>
        <w:ind w:left="0" w:leftChars="0" w:firstLine="640" w:firstLineChars="200"/>
        <w:jc w:val="both"/>
        <w:textAlignment w:val="auto"/>
        <w:rPr>
          <w:rFonts w:hint="default" w:ascii="Times New Roman" w:hAnsi="Times New Roman" w:eastAsia="仿宋_GB2312" w:cs="Times New Roman"/>
          <w:color w:val="auto"/>
          <w:kern w:val="0"/>
          <w:sz w:val="32"/>
          <w:szCs w:val="32"/>
          <w:highlight w:val="none"/>
          <w:u w:val="none"/>
          <w:lang w:val="en-US" w:eastAsia="zh-CN" w:bidi="ar"/>
        </w:rPr>
      </w:pPr>
      <w:r>
        <w:rPr>
          <w:rFonts w:hint="default" w:ascii="Times New Roman" w:hAnsi="Times New Roman" w:eastAsia="仿宋_GB2312" w:cs="Times New Roman"/>
          <w:color w:val="auto"/>
          <w:kern w:val="0"/>
          <w:sz w:val="32"/>
          <w:szCs w:val="32"/>
          <w:highlight w:val="none"/>
          <w:u w:val="none"/>
          <w:lang w:val="en-US" w:eastAsia="zh-CN" w:bidi="ar"/>
        </w:rPr>
        <w:t>被标记为“红”或“黄”色标的配送企业，一个年度内医保招采管理系统将进行自动警示，并对生产企业选择与其建立配送关系时进行系统告警提醒。市州医保部门可对有配送风险企业实施一定期限的暂停医保基金直接结算等处理。</w:t>
      </w:r>
    </w:p>
    <w:p>
      <w:pPr>
        <w:pStyle w:val="3"/>
        <w:keepNext w:val="0"/>
        <w:keepLines w:val="0"/>
        <w:pageBreakBefore w:val="0"/>
        <w:widowControl w:val="0"/>
        <w:kinsoku/>
        <w:wordWrap w:val="0"/>
        <w:overflowPunct/>
        <w:topLinePunct/>
        <w:autoSpaceDE/>
        <w:autoSpaceDN/>
        <w:bidi w:val="0"/>
        <w:adjustRightInd/>
        <w:snapToGrid w:val="0"/>
        <w:spacing w:line="640" w:lineRule="exact"/>
        <w:ind w:left="0" w:leftChars="0" w:firstLine="640" w:firstLineChars="200"/>
        <w:jc w:val="both"/>
        <w:textAlignment w:val="auto"/>
        <w:rPr>
          <w:rFonts w:hint="default" w:ascii="Times New Roman" w:hAnsi="Times New Roman" w:eastAsia="仿宋_GB2312" w:cs="Times New Roman"/>
          <w:color w:val="auto"/>
          <w:kern w:val="0"/>
          <w:sz w:val="32"/>
          <w:szCs w:val="32"/>
          <w:highlight w:val="none"/>
          <w:u w:val="none"/>
          <w:lang w:val="en-US" w:eastAsia="zh-CN" w:bidi="ar"/>
        </w:rPr>
      </w:pPr>
      <w:r>
        <w:rPr>
          <w:rFonts w:hint="default" w:ascii="Times New Roman" w:hAnsi="Times New Roman" w:eastAsia="仿宋_GB2312" w:cs="Times New Roman"/>
          <w:color w:val="auto"/>
          <w:kern w:val="0"/>
          <w:sz w:val="32"/>
          <w:szCs w:val="32"/>
          <w:highlight w:val="none"/>
          <w:u w:val="none"/>
          <w:lang w:val="en-US" w:eastAsia="zh-CN" w:bidi="ar"/>
        </w:rPr>
        <w:t>鼓励被标记为“红”或“黄”色标的配送企业进行配送服务评价修复，被标记为“红”色标的6个月、被标记为“黄”色标的3个月自评达到合格以上标准的，经申请和省级复核后可按相应等次进行标记。</w:t>
      </w:r>
    </w:p>
    <w:p>
      <w:pPr>
        <w:keepNext w:val="0"/>
        <w:keepLines w:val="0"/>
        <w:pageBreakBefore w:val="0"/>
        <w:widowControl w:val="0"/>
        <w:numPr>
          <w:ilvl w:val="0"/>
          <w:numId w:val="0"/>
        </w:numPr>
        <w:suppressLineNumbers w:val="0"/>
        <w:kinsoku/>
        <w:wordWrap w:val="0"/>
        <w:overflowPunct/>
        <w:topLinePunct/>
        <w:autoSpaceDE/>
        <w:autoSpaceDN/>
        <w:bidi w:val="0"/>
        <w:adjustRightInd/>
        <w:spacing w:line="640" w:lineRule="exact"/>
        <w:ind w:leftChars="0"/>
        <w:jc w:val="both"/>
        <w:textAlignment w:val="auto"/>
        <w:outlineLvl w:val="0"/>
        <w:rPr>
          <w:rFonts w:hint="default" w:ascii="Times New Roman" w:hAnsi="Times New Roman" w:eastAsia="CESI仿宋-GB2312" w:cs="Times New Roman"/>
          <w:color w:val="auto"/>
          <w:kern w:val="0"/>
          <w:sz w:val="32"/>
          <w:szCs w:val="32"/>
          <w:highlight w:val="none"/>
          <w:u w:val="none"/>
          <w:lang w:val="en-US" w:eastAsia="zh-CN" w:bidi="ar"/>
        </w:rPr>
      </w:pPr>
    </w:p>
    <w:p>
      <w:pPr>
        <w:keepNext w:val="0"/>
        <w:keepLines w:val="0"/>
        <w:pageBreakBefore w:val="0"/>
        <w:widowControl w:val="0"/>
        <w:suppressLineNumbers w:val="0"/>
        <w:kinsoku/>
        <w:wordWrap w:val="0"/>
        <w:overflowPunct/>
        <w:topLinePunct/>
        <w:autoSpaceDE/>
        <w:autoSpaceDN/>
        <w:bidi w:val="0"/>
        <w:adjustRightInd/>
        <w:spacing w:line="640" w:lineRule="exact"/>
        <w:ind w:left="0" w:leftChars="0"/>
        <w:jc w:val="center"/>
        <w:textAlignment w:val="auto"/>
        <w:outlineLvl w:val="0"/>
        <w:rPr>
          <w:rFonts w:hint="default" w:ascii="Times New Roman" w:hAnsi="Times New Roman" w:eastAsia="CESI黑体-GB2312" w:cs="Times New Roman"/>
          <w:color w:val="auto"/>
          <w:kern w:val="0"/>
          <w:sz w:val="32"/>
          <w:szCs w:val="32"/>
          <w:highlight w:val="none"/>
          <w:u w:val="none"/>
          <w:lang w:val="en-US" w:eastAsia="zh-CN" w:bidi="ar"/>
        </w:rPr>
      </w:pPr>
      <w:r>
        <w:rPr>
          <w:rFonts w:hint="default" w:ascii="Times New Roman" w:hAnsi="Times New Roman" w:eastAsia="黑体" w:cs="Times New Roman"/>
          <w:color w:val="auto"/>
          <w:kern w:val="0"/>
          <w:sz w:val="32"/>
          <w:szCs w:val="32"/>
          <w:highlight w:val="none"/>
          <w:u w:val="none"/>
          <w:lang w:val="en-US" w:eastAsia="zh-CN" w:bidi="ar"/>
        </w:rPr>
        <w:t>第五章  附则</w:t>
      </w:r>
    </w:p>
    <w:p>
      <w:pPr>
        <w:keepNext w:val="0"/>
        <w:keepLines w:val="0"/>
        <w:pageBreakBefore w:val="0"/>
        <w:widowControl w:val="0"/>
        <w:suppressLineNumbers w:val="0"/>
        <w:kinsoku/>
        <w:wordWrap w:val="0"/>
        <w:overflowPunct/>
        <w:topLinePunct/>
        <w:autoSpaceDE/>
        <w:autoSpaceDN/>
        <w:bidi w:val="0"/>
        <w:adjustRightInd/>
        <w:spacing w:line="640" w:lineRule="exact"/>
        <w:ind w:left="0" w:leftChars="0" w:firstLine="640" w:firstLineChars="200"/>
        <w:jc w:val="both"/>
        <w:textAlignment w:val="auto"/>
        <w:rPr>
          <w:rFonts w:hint="default" w:ascii="Times New Roman" w:hAnsi="Times New Roman" w:eastAsia="仿宋_GB2312" w:cs="Times New Roman"/>
          <w:color w:val="auto"/>
          <w:kern w:val="0"/>
          <w:sz w:val="32"/>
          <w:szCs w:val="32"/>
          <w:highlight w:val="none"/>
          <w:u w:val="none"/>
          <w:lang w:val="en-US" w:eastAsia="zh-CN" w:bidi="ar"/>
        </w:rPr>
      </w:pPr>
      <w:r>
        <w:rPr>
          <w:rFonts w:hint="eastAsia" w:ascii="楷体_GB2312" w:hAnsi="楷体_GB2312" w:eastAsia="楷体_GB2312" w:cs="楷体_GB2312"/>
          <w:b w:val="0"/>
          <w:bCs w:val="0"/>
          <w:color w:val="auto"/>
          <w:kern w:val="0"/>
          <w:sz w:val="32"/>
          <w:szCs w:val="32"/>
          <w:highlight w:val="none"/>
          <w:u w:val="none"/>
          <w:lang w:val="en-US" w:eastAsia="zh-CN" w:bidi="ar"/>
        </w:rPr>
        <w:t>第十九条</w:t>
      </w:r>
      <w:r>
        <w:rPr>
          <w:rFonts w:hint="eastAsia" w:ascii="楷体_GB2312" w:hAnsi="楷体_GB2312" w:eastAsia="楷体_GB2312" w:cs="楷体_GB2312"/>
          <w:b/>
          <w:bCs/>
          <w:color w:val="auto"/>
          <w:kern w:val="0"/>
          <w:sz w:val="32"/>
          <w:szCs w:val="32"/>
          <w:highlight w:val="none"/>
          <w:u w:val="none"/>
          <w:lang w:val="en-US" w:eastAsia="zh-CN" w:bidi="ar"/>
        </w:rPr>
        <w:t xml:space="preserve"> 部门职责</w:t>
      </w:r>
      <w:r>
        <w:rPr>
          <w:rFonts w:hint="default" w:ascii="Times New Roman" w:hAnsi="Times New Roman" w:eastAsia="CESI仿宋-GB2312" w:cs="Times New Roman"/>
          <w:b/>
          <w:bCs/>
          <w:color w:val="auto"/>
          <w:kern w:val="0"/>
          <w:sz w:val="32"/>
          <w:szCs w:val="32"/>
          <w:highlight w:val="none"/>
          <w:u w:val="none"/>
          <w:lang w:val="en-US" w:eastAsia="zh-CN" w:bidi="ar"/>
        </w:rPr>
        <w:t xml:space="preserve"> </w:t>
      </w:r>
      <w:r>
        <w:rPr>
          <w:rFonts w:hint="default" w:ascii="Times New Roman" w:hAnsi="Times New Roman" w:eastAsia="仿宋_GB2312" w:cs="Times New Roman"/>
          <w:i w:val="0"/>
          <w:caps w:val="0"/>
          <w:color w:val="auto"/>
          <w:spacing w:val="0"/>
          <w:sz w:val="32"/>
          <w:szCs w:val="32"/>
          <w:u w:val="none"/>
          <w:shd w:val="clear" w:color="auto" w:fill="FFFFFF"/>
        </w:rPr>
        <w:t>医疗保障、卫生健康、</w:t>
      </w:r>
      <w:r>
        <w:rPr>
          <w:rFonts w:hint="default" w:ascii="Times New Roman" w:hAnsi="Times New Roman" w:eastAsia="仿宋_GB2312" w:cs="Times New Roman"/>
          <w:i w:val="0"/>
          <w:caps w:val="0"/>
          <w:color w:val="auto"/>
          <w:spacing w:val="0"/>
          <w:sz w:val="32"/>
          <w:szCs w:val="32"/>
          <w:u w:val="none"/>
          <w:shd w:val="clear" w:color="auto" w:fill="FFFFFF"/>
          <w:lang w:val="en-US" w:eastAsia="zh-CN"/>
        </w:rPr>
        <w:t>药品</w:t>
      </w:r>
      <w:r>
        <w:rPr>
          <w:rFonts w:hint="default" w:ascii="Times New Roman" w:hAnsi="Times New Roman" w:eastAsia="仿宋_GB2312" w:cs="Times New Roman"/>
          <w:i w:val="0"/>
          <w:caps w:val="0"/>
          <w:color w:val="auto"/>
          <w:spacing w:val="0"/>
          <w:sz w:val="32"/>
          <w:szCs w:val="32"/>
          <w:u w:val="none"/>
          <w:shd w:val="clear" w:color="auto" w:fill="FFFFFF"/>
        </w:rPr>
        <w:t>监管</w:t>
      </w:r>
      <w:r>
        <w:rPr>
          <w:rFonts w:hint="default" w:ascii="Times New Roman" w:hAnsi="Times New Roman" w:eastAsia="仿宋_GB2312" w:cs="Times New Roman"/>
          <w:i w:val="0"/>
          <w:caps w:val="0"/>
          <w:color w:val="auto"/>
          <w:spacing w:val="0"/>
          <w:sz w:val="32"/>
          <w:szCs w:val="32"/>
          <w:u w:val="none"/>
          <w:shd w:val="clear" w:color="auto" w:fill="FFFFFF"/>
          <w:lang w:eastAsia="zh-CN"/>
        </w:rPr>
        <w:t>、</w:t>
      </w:r>
      <w:r>
        <w:rPr>
          <w:rFonts w:hint="default" w:ascii="Times New Roman" w:hAnsi="Times New Roman" w:eastAsia="仿宋_GB2312" w:cs="Times New Roman"/>
          <w:i w:val="0"/>
          <w:caps w:val="0"/>
          <w:color w:val="auto"/>
          <w:spacing w:val="0"/>
          <w:sz w:val="32"/>
          <w:szCs w:val="32"/>
          <w:u w:val="none"/>
          <w:shd w:val="clear" w:color="auto" w:fill="FFFFFF"/>
          <w:lang w:val="en-US" w:eastAsia="zh-CN"/>
        </w:rPr>
        <w:t>公共资源交易等</w:t>
      </w:r>
      <w:r>
        <w:rPr>
          <w:rFonts w:hint="default" w:ascii="Times New Roman" w:hAnsi="Times New Roman" w:eastAsia="仿宋_GB2312" w:cs="Times New Roman"/>
          <w:i w:val="0"/>
          <w:caps w:val="0"/>
          <w:color w:val="auto"/>
          <w:spacing w:val="0"/>
          <w:sz w:val="32"/>
          <w:szCs w:val="32"/>
          <w:u w:val="none"/>
          <w:shd w:val="clear" w:color="auto" w:fill="FFFFFF"/>
        </w:rPr>
        <w:t>部</w:t>
      </w:r>
      <w:r>
        <w:rPr>
          <w:rFonts w:hint="default" w:ascii="Times New Roman" w:hAnsi="Times New Roman" w:eastAsia="仿宋_GB2312" w:cs="Times New Roman"/>
          <w:color w:val="auto"/>
          <w:kern w:val="0"/>
          <w:sz w:val="32"/>
          <w:szCs w:val="32"/>
          <w:highlight w:val="none"/>
          <w:u w:val="none"/>
          <w:lang w:val="en-US" w:eastAsia="zh-CN" w:bidi="ar"/>
        </w:rPr>
        <w:t>门积极配合，各负其责，加大信息共享，共同做好药品耗材配送供应保障。应加强对药品耗材配送管理政策的监督实施与指导，及时受理辖区内医疗机构举报投诉，加强日常督导检查；建立完善平台功能，实现评价指标信息化统计核算，具体经办配送企业信息管理、年度评价及评价修复、信用评价等工作，做好配送管理信息统计分析。主管部门应指导医疗机构应用配送服务评价结果，督促医疗卫生机构规范采购行为、及时结算医药货款；加强对药品生产经营企业的监督检查，对发现的有关企业违反法律法规规定及发生药品质量问题，及时查处。</w:t>
      </w:r>
    </w:p>
    <w:p>
      <w:pPr>
        <w:keepNext w:val="0"/>
        <w:keepLines w:val="0"/>
        <w:pageBreakBefore w:val="0"/>
        <w:widowControl w:val="0"/>
        <w:suppressLineNumbers w:val="0"/>
        <w:kinsoku/>
        <w:wordWrap w:val="0"/>
        <w:overflowPunct/>
        <w:topLinePunct/>
        <w:autoSpaceDE/>
        <w:autoSpaceDN/>
        <w:bidi w:val="0"/>
        <w:adjustRightInd/>
        <w:spacing w:line="640" w:lineRule="exact"/>
        <w:ind w:left="0" w:leftChars="0" w:firstLine="640" w:firstLineChars="200"/>
        <w:jc w:val="both"/>
        <w:textAlignment w:val="auto"/>
        <w:outlineLvl w:val="1"/>
        <w:rPr>
          <w:rFonts w:hint="default" w:ascii="Times New Roman" w:hAnsi="Times New Roman" w:eastAsia="仿宋_GB2312" w:cs="Times New Roman"/>
          <w:color w:val="auto"/>
          <w:sz w:val="32"/>
          <w:szCs w:val="32"/>
          <w:highlight w:val="none"/>
          <w:u w:val="none"/>
        </w:rPr>
      </w:pPr>
      <w:r>
        <w:rPr>
          <w:rFonts w:hint="eastAsia" w:ascii="楷体_GB2312" w:hAnsi="楷体_GB2312" w:eastAsia="楷体_GB2312" w:cs="楷体_GB2312"/>
          <w:b w:val="0"/>
          <w:bCs w:val="0"/>
          <w:color w:val="auto"/>
          <w:kern w:val="0"/>
          <w:sz w:val="32"/>
          <w:szCs w:val="32"/>
          <w:highlight w:val="none"/>
          <w:u w:val="none"/>
          <w:lang w:val="en-US" w:eastAsia="zh-CN" w:bidi="ar"/>
        </w:rPr>
        <w:t>第二十条</w:t>
      </w:r>
      <w:r>
        <w:rPr>
          <w:rFonts w:hint="default" w:ascii="Times New Roman" w:hAnsi="Times New Roman" w:eastAsia="黑体" w:cs="Times New Roman"/>
          <w:b w:val="0"/>
          <w:bCs w:val="0"/>
          <w:color w:val="auto"/>
          <w:kern w:val="0"/>
          <w:sz w:val="32"/>
          <w:szCs w:val="32"/>
          <w:highlight w:val="none"/>
          <w:u w:val="none"/>
          <w:lang w:val="en-US" w:eastAsia="zh-CN" w:bidi="ar"/>
        </w:rPr>
        <w:t xml:space="preserve"> </w:t>
      </w:r>
      <w:r>
        <w:rPr>
          <w:rFonts w:hint="default" w:ascii="Times New Roman" w:hAnsi="Times New Roman" w:eastAsia="仿宋_GB2312" w:cs="Times New Roman"/>
          <w:color w:val="auto"/>
          <w:kern w:val="0"/>
          <w:sz w:val="32"/>
          <w:szCs w:val="32"/>
          <w:highlight w:val="none"/>
          <w:u w:val="none"/>
          <w:lang w:val="en-US" w:eastAsia="zh-CN" w:bidi="ar"/>
        </w:rPr>
        <w:t>本管理办法自2025年 月  日起执行。执行过程中，如遇国家和省相关政策调整，按国家和省政策规定执行。</w:t>
      </w:r>
    </w:p>
    <w:p>
      <w:pPr>
        <w:keepNext w:val="0"/>
        <w:keepLines w:val="0"/>
        <w:pageBreakBefore w:val="0"/>
        <w:widowControl w:val="0"/>
        <w:numPr>
          <w:ilvl w:val="0"/>
          <w:numId w:val="0"/>
        </w:numPr>
        <w:kinsoku/>
        <w:wordWrap w:val="0"/>
        <w:overflowPunct/>
        <w:topLinePunct/>
        <w:autoSpaceDE/>
        <w:autoSpaceDN/>
        <w:bidi w:val="0"/>
        <w:adjustRightInd/>
        <w:spacing w:line="640" w:lineRule="exact"/>
        <w:ind w:left="0" w:leftChars="0" w:firstLine="640" w:firstLineChars="200"/>
        <w:jc w:val="both"/>
        <w:textAlignment w:val="auto"/>
        <w:rPr>
          <w:rFonts w:hint="default" w:ascii="Times New Roman" w:hAnsi="Times New Roman" w:eastAsia="仿宋_GB2312" w:cs="Times New Roman"/>
          <w:color w:val="auto"/>
          <w:spacing w:val="0"/>
          <w:w w:val="100"/>
          <w:kern w:val="0"/>
          <w:sz w:val="32"/>
          <w:szCs w:val="32"/>
          <w:highlight w:val="none"/>
          <w:u w:val="none"/>
          <w:lang w:val="en-US" w:eastAsia="zh-CN" w:bidi="ar"/>
        </w:rPr>
      </w:pPr>
      <w:r>
        <w:rPr>
          <w:rFonts w:hint="default" w:ascii="Times New Roman" w:hAnsi="Times New Roman" w:eastAsia="仿宋_GB2312" w:cs="Times New Roman"/>
          <w:color w:val="auto"/>
          <w:w w:val="100"/>
          <w:kern w:val="0"/>
          <w:sz w:val="32"/>
          <w:szCs w:val="32"/>
          <w:highlight w:val="none"/>
          <w:u w:val="none"/>
          <w:lang w:val="en-US" w:eastAsia="zh-CN" w:bidi="ar"/>
        </w:rPr>
        <w:t>附件：湖南省</w:t>
      </w:r>
      <w:r>
        <w:rPr>
          <w:rFonts w:hint="default" w:ascii="Times New Roman" w:hAnsi="Times New Roman" w:eastAsia="仿宋_GB2312" w:cs="Times New Roman"/>
          <w:color w:val="auto"/>
          <w:spacing w:val="0"/>
          <w:w w:val="100"/>
          <w:kern w:val="0"/>
          <w:sz w:val="32"/>
          <w:szCs w:val="32"/>
          <w:highlight w:val="none"/>
          <w:u w:val="none"/>
          <w:lang w:val="en-US" w:eastAsia="zh-CN" w:bidi="ar"/>
        </w:rPr>
        <w:t>药品和医用耗材集采配送管理综合评定细则</w:t>
      </w:r>
    </w:p>
    <w:tbl>
      <w:tblPr>
        <w:tblStyle w:val="5"/>
        <w:tblpPr w:leftFromText="180" w:rightFromText="180" w:vertAnchor="text" w:horzAnchor="page" w:tblpX="968" w:tblpY="857"/>
        <w:tblOverlap w:val="never"/>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96"/>
        <w:gridCol w:w="833"/>
        <w:gridCol w:w="5111"/>
        <w:gridCol w:w="2643"/>
        <w:gridCol w:w="74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10228" w:type="dxa"/>
            <w:gridSpan w:val="5"/>
            <w:tcBorders>
              <w:top w:val="nil"/>
              <w:left w:val="nil"/>
              <w:bottom w:val="nil"/>
              <w:right w:val="nil"/>
            </w:tcBorders>
            <w:noWrap w:val="0"/>
            <w:vAlign w:val="top"/>
          </w:tcPr>
          <w:p>
            <w:pPr>
              <w:keepNext w:val="0"/>
              <w:keepLines w:val="0"/>
              <w:widowControl/>
              <w:suppressLineNumbers w:val="0"/>
              <w:jc w:val="center"/>
              <w:textAlignment w:val="top"/>
              <w:rPr>
                <w:rFonts w:ascii="方正小标宋简体" w:hAnsi="方正小标宋简体" w:eastAsia="方正小标宋简体" w:cs="方正小标宋简体"/>
                <w:i w:val="0"/>
                <w:iCs w:val="0"/>
                <w:color w:val="auto"/>
                <w:sz w:val="28"/>
                <w:szCs w:val="28"/>
                <w:u w:val="none"/>
              </w:rPr>
            </w:pPr>
            <w:r>
              <w:rPr>
                <w:rFonts w:hint="eastAsia" w:ascii="方正小标宋简体" w:hAnsi="方正小标宋简体" w:eastAsia="方正小标宋简体" w:cs="方正小标宋简体"/>
                <w:i w:val="0"/>
                <w:iCs w:val="0"/>
                <w:color w:val="auto"/>
                <w:kern w:val="0"/>
                <w:sz w:val="32"/>
                <w:szCs w:val="32"/>
                <w:u w:val="none"/>
                <w:lang w:val="en-US" w:eastAsia="zh-CN" w:bidi="ar"/>
              </w:rPr>
              <w:t xml:space="preserve">湖南省集中采购药品和医用耗材配送服务管理综合评价细则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8" w:hRule="atLeast"/>
        </w:trPr>
        <w:tc>
          <w:tcPr>
            <w:tcW w:w="89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黑体" w:hAnsi="黑体" w:eastAsia="黑体" w:cs="黑体"/>
                <w:i w:val="0"/>
                <w:iCs w:val="0"/>
                <w:color w:val="auto"/>
                <w:kern w:val="0"/>
                <w:sz w:val="21"/>
                <w:szCs w:val="21"/>
                <w:u w:val="none"/>
                <w:lang w:val="en-US" w:eastAsia="zh-CN" w:bidi="ar"/>
              </w:rPr>
            </w:pPr>
            <w:r>
              <w:rPr>
                <w:rFonts w:hint="eastAsia" w:ascii="黑体" w:hAnsi="黑体" w:eastAsia="黑体" w:cs="黑体"/>
                <w:i w:val="0"/>
                <w:iCs w:val="0"/>
                <w:color w:val="auto"/>
                <w:kern w:val="0"/>
                <w:sz w:val="21"/>
                <w:szCs w:val="21"/>
                <w:u w:val="none"/>
                <w:lang w:val="en-US" w:eastAsia="zh-CN" w:bidi="ar"/>
              </w:rPr>
              <w:t>评价</w:t>
            </w:r>
          </w:p>
          <w:p>
            <w:pPr>
              <w:keepNext w:val="0"/>
              <w:keepLines w:val="0"/>
              <w:widowControl/>
              <w:suppressLineNumbers w:val="0"/>
              <w:jc w:val="center"/>
              <w:textAlignment w:val="center"/>
              <w:rPr>
                <w:rFonts w:hint="eastAsia" w:ascii="黑体" w:hAnsi="黑体" w:eastAsia="黑体" w:cs="黑体"/>
                <w:i w:val="0"/>
                <w:iCs w:val="0"/>
                <w:color w:val="auto"/>
                <w:sz w:val="21"/>
                <w:szCs w:val="21"/>
                <w:u w:val="none"/>
              </w:rPr>
            </w:pPr>
            <w:r>
              <w:rPr>
                <w:rFonts w:hint="eastAsia" w:ascii="黑体" w:hAnsi="黑体" w:eastAsia="黑体" w:cs="黑体"/>
                <w:i w:val="0"/>
                <w:iCs w:val="0"/>
                <w:color w:val="auto"/>
                <w:kern w:val="0"/>
                <w:sz w:val="21"/>
                <w:szCs w:val="21"/>
                <w:u w:val="none"/>
                <w:lang w:val="en-US" w:eastAsia="zh-CN" w:bidi="ar"/>
              </w:rPr>
              <w:t>要素</w:t>
            </w:r>
          </w:p>
        </w:tc>
        <w:tc>
          <w:tcPr>
            <w:tcW w:w="8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黑体" w:hAnsi="黑体" w:eastAsia="黑体" w:cs="黑体"/>
                <w:i w:val="0"/>
                <w:iCs w:val="0"/>
                <w:color w:val="auto"/>
                <w:kern w:val="0"/>
                <w:sz w:val="21"/>
                <w:szCs w:val="21"/>
                <w:u w:val="none"/>
                <w:lang w:val="en-US" w:eastAsia="zh-CN" w:bidi="ar"/>
              </w:rPr>
            </w:pPr>
            <w:r>
              <w:rPr>
                <w:rFonts w:hint="eastAsia" w:ascii="黑体" w:hAnsi="黑体" w:eastAsia="黑体" w:cs="黑体"/>
                <w:i w:val="0"/>
                <w:iCs w:val="0"/>
                <w:color w:val="auto"/>
                <w:kern w:val="0"/>
                <w:sz w:val="21"/>
                <w:szCs w:val="21"/>
                <w:u w:val="none"/>
                <w:lang w:val="en-US" w:eastAsia="zh-CN" w:bidi="ar"/>
              </w:rPr>
              <w:t>评价</w:t>
            </w:r>
          </w:p>
          <w:p>
            <w:pPr>
              <w:keepNext w:val="0"/>
              <w:keepLines w:val="0"/>
              <w:widowControl/>
              <w:suppressLineNumbers w:val="0"/>
              <w:jc w:val="center"/>
              <w:textAlignment w:val="center"/>
              <w:rPr>
                <w:rFonts w:hint="eastAsia" w:ascii="黑体" w:hAnsi="黑体" w:eastAsia="黑体" w:cs="黑体"/>
                <w:i w:val="0"/>
                <w:iCs w:val="0"/>
                <w:color w:val="auto"/>
                <w:sz w:val="21"/>
                <w:szCs w:val="21"/>
                <w:u w:val="none"/>
              </w:rPr>
            </w:pPr>
            <w:r>
              <w:rPr>
                <w:rFonts w:hint="eastAsia" w:ascii="黑体" w:hAnsi="黑体" w:eastAsia="黑体" w:cs="黑体"/>
                <w:i w:val="0"/>
                <w:iCs w:val="0"/>
                <w:color w:val="auto"/>
                <w:kern w:val="0"/>
                <w:sz w:val="21"/>
                <w:szCs w:val="21"/>
                <w:u w:val="none"/>
                <w:lang w:val="en-US" w:eastAsia="zh-CN" w:bidi="ar"/>
              </w:rPr>
              <w:t>指标</w:t>
            </w:r>
          </w:p>
        </w:tc>
        <w:tc>
          <w:tcPr>
            <w:tcW w:w="511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黑体" w:hAnsi="黑体" w:eastAsia="黑体" w:cs="黑体"/>
                <w:i w:val="0"/>
                <w:iCs w:val="0"/>
                <w:color w:val="auto"/>
                <w:sz w:val="21"/>
                <w:szCs w:val="21"/>
                <w:u w:val="none"/>
              </w:rPr>
            </w:pPr>
            <w:r>
              <w:rPr>
                <w:rFonts w:hint="eastAsia" w:ascii="黑体" w:hAnsi="黑体" w:eastAsia="黑体" w:cs="黑体"/>
                <w:i w:val="0"/>
                <w:iCs w:val="0"/>
                <w:color w:val="auto"/>
                <w:kern w:val="0"/>
                <w:sz w:val="21"/>
                <w:szCs w:val="21"/>
                <w:u w:val="none"/>
                <w:lang w:val="en-US" w:eastAsia="zh-CN" w:bidi="ar"/>
              </w:rPr>
              <w:t>评价内容（计算方式）</w:t>
            </w:r>
          </w:p>
        </w:tc>
        <w:tc>
          <w:tcPr>
            <w:tcW w:w="26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黑体" w:hAnsi="黑体" w:eastAsia="黑体" w:cs="黑体"/>
                <w:i w:val="0"/>
                <w:iCs w:val="0"/>
                <w:color w:val="auto"/>
                <w:sz w:val="21"/>
                <w:szCs w:val="21"/>
                <w:u w:val="none"/>
              </w:rPr>
            </w:pPr>
            <w:r>
              <w:rPr>
                <w:rFonts w:hint="eastAsia" w:ascii="黑体" w:hAnsi="黑体" w:eastAsia="黑体" w:cs="黑体"/>
                <w:i w:val="0"/>
                <w:iCs w:val="0"/>
                <w:color w:val="auto"/>
                <w:kern w:val="0"/>
                <w:sz w:val="21"/>
                <w:szCs w:val="21"/>
                <w:u w:val="none"/>
                <w:lang w:val="en-US" w:eastAsia="zh-CN" w:bidi="ar"/>
              </w:rPr>
              <w:t>评分标准</w:t>
            </w:r>
          </w:p>
        </w:tc>
        <w:tc>
          <w:tcPr>
            <w:tcW w:w="7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黑体" w:hAnsi="黑体" w:eastAsia="黑体" w:cs="黑体"/>
                <w:i w:val="0"/>
                <w:iCs w:val="0"/>
                <w:color w:val="auto"/>
                <w:sz w:val="21"/>
                <w:szCs w:val="21"/>
                <w:u w:val="none"/>
              </w:rPr>
            </w:pPr>
            <w:r>
              <w:rPr>
                <w:rFonts w:hint="eastAsia" w:ascii="黑体" w:hAnsi="黑体" w:eastAsia="黑体" w:cs="黑体"/>
                <w:i w:val="0"/>
                <w:iCs w:val="0"/>
                <w:color w:val="auto"/>
                <w:kern w:val="0"/>
                <w:sz w:val="21"/>
                <w:szCs w:val="21"/>
                <w:u w:val="none"/>
                <w:lang w:val="en-US" w:eastAsia="zh-CN" w:bidi="ar"/>
              </w:rPr>
              <w:t>分值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896"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及时响应情况（40分）</w:t>
            </w:r>
          </w:p>
        </w:tc>
        <w:tc>
          <w:tcPr>
            <w:tcW w:w="833"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订单响应率</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（20分）</w:t>
            </w:r>
          </w:p>
        </w:tc>
        <w:tc>
          <w:tcPr>
            <w:tcW w:w="5111"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1.反映医疗机构发起采购订单后，配送企业24小时内的订单响应情况。</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2.订单创建时间24小时内配送企业确认订单条数/医疗机构总订单条数×100%</w:t>
            </w:r>
          </w:p>
        </w:tc>
        <w:tc>
          <w:tcPr>
            <w:tcW w:w="26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lang w:val="en-US"/>
              </w:rPr>
            </w:pPr>
            <w:r>
              <w:rPr>
                <w:rFonts w:hint="eastAsia" w:ascii="宋体" w:hAnsi="宋体" w:eastAsia="宋体" w:cs="宋体"/>
                <w:i w:val="0"/>
                <w:iCs w:val="0"/>
                <w:color w:val="auto"/>
                <w:kern w:val="0"/>
                <w:sz w:val="20"/>
                <w:szCs w:val="20"/>
                <w:u w:val="none"/>
                <w:lang w:val="en-US" w:eastAsia="zh-CN" w:bidi="ar"/>
              </w:rPr>
              <w:t>订单响应率100%</w:t>
            </w:r>
          </w:p>
        </w:tc>
        <w:tc>
          <w:tcPr>
            <w:tcW w:w="7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lang w:val="en-US"/>
              </w:rPr>
            </w:pPr>
            <w:r>
              <w:rPr>
                <w:rFonts w:hint="eastAsia" w:ascii="宋体" w:hAnsi="宋体" w:eastAsia="宋体" w:cs="宋体"/>
                <w:i w:val="0"/>
                <w:iCs w:val="0"/>
                <w:color w:val="auto"/>
                <w:kern w:val="0"/>
                <w:sz w:val="20"/>
                <w:szCs w:val="20"/>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89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0"/>
                <w:szCs w:val="20"/>
                <w:u w:val="none"/>
              </w:rPr>
            </w:pPr>
          </w:p>
        </w:tc>
        <w:tc>
          <w:tcPr>
            <w:tcW w:w="833"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0"/>
                <w:szCs w:val="20"/>
                <w:u w:val="none"/>
              </w:rPr>
            </w:pPr>
          </w:p>
        </w:tc>
        <w:tc>
          <w:tcPr>
            <w:tcW w:w="511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iCs w:val="0"/>
                <w:color w:val="auto"/>
                <w:sz w:val="20"/>
                <w:szCs w:val="20"/>
                <w:u w:val="none"/>
              </w:rPr>
            </w:pPr>
          </w:p>
        </w:tc>
        <w:tc>
          <w:tcPr>
            <w:tcW w:w="26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lang w:val="en-US"/>
              </w:rPr>
            </w:pPr>
            <w:r>
              <w:rPr>
                <w:rFonts w:hint="eastAsia" w:ascii="宋体" w:hAnsi="宋体" w:eastAsia="宋体" w:cs="宋体"/>
                <w:i w:val="0"/>
                <w:iCs w:val="0"/>
                <w:color w:val="auto"/>
                <w:kern w:val="0"/>
                <w:sz w:val="20"/>
                <w:szCs w:val="20"/>
                <w:u w:val="none"/>
                <w:lang w:val="en-US" w:eastAsia="zh-CN" w:bidi="ar"/>
              </w:rPr>
              <w:t>80%＜订单响应率＜100%，每降低一个百分点减1分</w:t>
            </w:r>
          </w:p>
        </w:tc>
        <w:tc>
          <w:tcPr>
            <w:tcW w:w="7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递减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89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0"/>
                <w:szCs w:val="20"/>
                <w:u w:val="none"/>
              </w:rPr>
            </w:pPr>
          </w:p>
        </w:tc>
        <w:tc>
          <w:tcPr>
            <w:tcW w:w="833"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0"/>
                <w:szCs w:val="20"/>
                <w:u w:val="none"/>
              </w:rPr>
            </w:pPr>
          </w:p>
        </w:tc>
        <w:tc>
          <w:tcPr>
            <w:tcW w:w="511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iCs w:val="0"/>
                <w:color w:val="auto"/>
                <w:sz w:val="20"/>
                <w:szCs w:val="20"/>
                <w:u w:val="none"/>
              </w:rPr>
            </w:pPr>
          </w:p>
        </w:tc>
        <w:tc>
          <w:tcPr>
            <w:tcW w:w="26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订单响应率≤80%</w:t>
            </w:r>
          </w:p>
        </w:tc>
        <w:tc>
          <w:tcPr>
            <w:tcW w:w="7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89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0"/>
                <w:szCs w:val="20"/>
                <w:u w:val="none"/>
              </w:rPr>
            </w:pPr>
          </w:p>
        </w:tc>
        <w:tc>
          <w:tcPr>
            <w:tcW w:w="833"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配送及时率</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（20分）</w:t>
            </w:r>
          </w:p>
        </w:tc>
        <w:tc>
          <w:tcPr>
            <w:tcW w:w="5111"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1.反映医疗机构发起采购订单后，配送企业48小时内的订单配送情况。</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2.订单创建时间48小时内配送企业配送实际包装数量/医疗机构总订单包装数量×100%</w:t>
            </w:r>
          </w:p>
        </w:tc>
        <w:tc>
          <w:tcPr>
            <w:tcW w:w="26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lang w:val="en-US"/>
              </w:rPr>
            </w:pPr>
            <w:r>
              <w:rPr>
                <w:rFonts w:hint="eastAsia" w:ascii="宋体" w:hAnsi="宋体" w:eastAsia="宋体" w:cs="宋体"/>
                <w:i w:val="0"/>
                <w:iCs w:val="0"/>
                <w:color w:val="auto"/>
                <w:kern w:val="0"/>
                <w:sz w:val="20"/>
                <w:szCs w:val="20"/>
                <w:u w:val="none"/>
                <w:lang w:val="en-US" w:eastAsia="zh-CN" w:bidi="ar"/>
              </w:rPr>
              <w:t>发货及时率100%</w:t>
            </w:r>
          </w:p>
        </w:tc>
        <w:tc>
          <w:tcPr>
            <w:tcW w:w="7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lang w:val="en-US"/>
              </w:rPr>
            </w:pPr>
            <w:r>
              <w:rPr>
                <w:rFonts w:hint="eastAsia" w:ascii="宋体" w:hAnsi="宋体" w:eastAsia="宋体" w:cs="宋体"/>
                <w:i w:val="0"/>
                <w:iCs w:val="0"/>
                <w:color w:val="auto"/>
                <w:kern w:val="0"/>
                <w:sz w:val="20"/>
                <w:szCs w:val="20"/>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89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0"/>
                <w:szCs w:val="20"/>
                <w:u w:val="none"/>
              </w:rPr>
            </w:pPr>
          </w:p>
        </w:tc>
        <w:tc>
          <w:tcPr>
            <w:tcW w:w="833"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0"/>
                <w:szCs w:val="20"/>
                <w:u w:val="none"/>
              </w:rPr>
            </w:pPr>
          </w:p>
        </w:tc>
        <w:tc>
          <w:tcPr>
            <w:tcW w:w="511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iCs w:val="0"/>
                <w:color w:val="auto"/>
                <w:sz w:val="20"/>
                <w:szCs w:val="20"/>
                <w:u w:val="none"/>
              </w:rPr>
            </w:pPr>
          </w:p>
        </w:tc>
        <w:tc>
          <w:tcPr>
            <w:tcW w:w="26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80%＜发货及时率＜100%，每降低一个百分点减1分</w:t>
            </w:r>
          </w:p>
        </w:tc>
        <w:tc>
          <w:tcPr>
            <w:tcW w:w="7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递减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89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0"/>
                <w:szCs w:val="20"/>
                <w:u w:val="none"/>
              </w:rPr>
            </w:pPr>
          </w:p>
        </w:tc>
        <w:tc>
          <w:tcPr>
            <w:tcW w:w="833"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0"/>
                <w:szCs w:val="20"/>
                <w:u w:val="none"/>
              </w:rPr>
            </w:pPr>
          </w:p>
        </w:tc>
        <w:tc>
          <w:tcPr>
            <w:tcW w:w="511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iCs w:val="0"/>
                <w:color w:val="auto"/>
                <w:sz w:val="20"/>
                <w:szCs w:val="20"/>
                <w:u w:val="none"/>
              </w:rPr>
            </w:pPr>
          </w:p>
        </w:tc>
        <w:tc>
          <w:tcPr>
            <w:tcW w:w="26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发货及时≤80%</w:t>
            </w:r>
          </w:p>
        </w:tc>
        <w:tc>
          <w:tcPr>
            <w:tcW w:w="7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896"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供应</w:t>
            </w:r>
          </w:p>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配送</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（30分）</w:t>
            </w:r>
          </w:p>
        </w:tc>
        <w:tc>
          <w:tcPr>
            <w:tcW w:w="833" w:type="dxa"/>
            <w:vMerge w:val="restart"/>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配送数量满</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足率</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（20分）</w:t>
            </w:r>
          </w:p>
        </w:tc>
        <w:tc>
          <w:tcPr>
            <w:tcW w:w="5111"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1.反映配送企业对医疗机构采购订单的药品及耗材数量配送满足情况。</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2.配送企业实际配送包装数量/医疗机构总订单包装数量×100%</w:t>
            </w:r>
          </w:p>
        </w:tc>
        <w:tc>
          <w:tcPr>
            <w:tcW w:w="26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配送数量满足率100%</w:t>
            </w:r>
          </w:p>
        </w:tc>
        <w:tc>
          <w:tcPr>
            <w:tcW w:w="7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89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0"/>
                <w:szCs w:val="20"/>
                <w:u w:val="none"/>
              </w:rPr>
            </w:pPr>
          </w:p>
        </w:tc>
        <w:tc>
          <w:tcPr>
            <w:tcW w:w="833" w:type="dxa"/>
            <w:vMerge w:val="continue"/>
            <w:tcBorders>
              <w:top w:val="single" w:color="000000" w:sz="4" w:space="0"/>
              <w:left w:val="nil"/>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0"/>
                <w:szCs w:val="20"/>
                <w:u w:val="none"/>
              </w:rPr>
            </w:pPr>
          </w:p>
        </w:tc>
        <w:tc>
          <w:tcPr>
            <w:tcW w:w="511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iCs w:val="0"/>
                <w:color w:val="auto"/>
                <w:sz w:val="20"/>
                <w:szCs w:val="20"/>
                <w:u w:val="none"/>
              </w:rPr>
            </w:pPr>
          </w:p>
        </w:tc>
        <w:tc>
          <w:tcPr>
            <w:tcW w:w="26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80%＜配送数量满足率＜100%，每降低一个百分点减1分</w:t>
            </w:r>
          </w:p>
        </w:tc>
        <w:tc>
          <w:tcPr>
            <w:tcW w:w="7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递减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89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0"/>
                <w:szCs w:val="20"/>
                <w:u w:val="none"/>
              </w:rPr>
            </w:pPr>
          </w:p>
        </w:tc>
        <w:tc>
          <w:tcPr>
            <w:tcW w:w="833" w:type="dxa"/>
            <w:vMerge w:val="continue"/>
            <w:tcBorders>
              <w:top w:val="single" w:color="000000" w:sz="4" w:space="0"/>
              <w:left w:val="nil"/>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0"/>
                <w:szCs w:val="20"/>
                <w:u w:val="none"/>
              </w:rPr>
            </w:pPr>
          </w:p>
        </w:tc>
        <w:tc>
          <w:tcPr>
            <w:tcW w:w="511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iCs w:val="0"/>
                <w:color w:val="auto"/>
                <w:sz w:val="20"/>
                <w:szCs w:val="20"/>
                <w:u w:val="none"/>
              </w:rPr>
            </w:pPr>
          </w:p>
        </w:tc>
        <w:tc>
          <w:tcPr>
            <w:tcW w:w="26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配送数量满足率≤80%</w:t>
            </w:r>
          </w:p>
        </w:tc>
        <w:tc>
          <w:tcPr>
            <w:tcW w:w="7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89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0"/>
                <w:szCs w:val="20"/>
                <w:u w:val="none"/>
              </w:rPr>
            </w:pPr>
          </w:p>
        </w:tc>
        <w:tc>
          <w:tcPr>
            <w:tcW w:w="833" w:type="dxa"/>
            <w:vMerge w:val="restart"/>
            <w:tcBorders>
              <w:top w:val="single" w:color="000000" w:sz="4" w:space="0"/>
              <w:left w:val="nil"/>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配送覆盖率</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（10分）</w:t>
            </w:r>
          </w:p>
        </w:tc>
        <w:tc>
          <w:tcPr>
            <w:tcW w:w="5111"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1.反映配送企业实际配送医疗机构</w:t>
            </w:r>
            <w:r>
              <w:rPr>
                <w:rFonts w:hint="eastAsia" w:ascii="宋体" w:hAnsi="宋体" w:cs="宋体"/>
                <w:i w:val="0"/>
                <w:iCs w:val="0"/>
                <w:color w:val="auto"/>
                <w:kern w:val="0"/>
                <w:sz w:val="20"/>
                <w:szCs w:val="20"/>
                <w:u w:val="none"/>
                <w:lang w:val="en-US" w:eastAsia="zh-CN" w:bidi="ar"/>
              </w:rPr>
              <w:t>尤其是基层医疗机构</w:t>
            </w:r>
            <w:r>
              <w:rPr>
                <w:rFonts w:hint="eastAsia" w:ascii="宋体" w:hAnsi="宋体" w:eastAsia="宋体" w:cs="宋体"/>
                <w:i w:val="0"/>
                <w:iCs w:val="0"/>
                <w:color w:val="auto"/>
                <w:kern w:val="0"/>
                <w:sz w:val="20"/>
                <w:szCs w:val="20"/>
                <w:u w:val="none"/>
                <w:lang w:val="en-US" w:eastAsia="zh-CN" w:bidi="ar"/>
              </w:rPr>
              <w:t>的覆盖情况。</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2.实际配送公立医疗机构数/配送区域内所有公立医疗机构数（紧密型医共体以采购账户计算）×100%</w:t>
            </w:r>
          </w:p>
        </w:tc>
        <w:tc>
          <w:tcPr>
            <w:tcW w:w="26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医疗机构覆盖率≥80%</w:t>
            </w:r>
          </w:p>
        </w:tc>
        <w:tc>
          <w:tcPr>
            <w:tcW w:w="7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89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0"/>
                <w:szCs w:val="20"/>
                <w:u w:val="none"/>
              </w:rPr>
            </w:pPr>
          </w:p>
        </w:tc>
        <w:tc>
          <w:tcPr>
            <w:tcW w:w="833" w:type="dxa"/>
            <w:vMerge w:val="continue"/>
            <w:tcBorders>
              <w:top w:val="single" w:color="000000" w:sz="4" w:space="0"/>
              <w:left w:val="nil"/>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0"/>
                <w:szCs w:val="20"/>
                <w:u w:val="none"/>
              </w:rPr>
            </w:pPr>
          </w:p>
        </w:tc>
        <w:tc>
          <w:tcPr>
            <w:tcW w:w="511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iCs w:val="0"/>
                <w:color w:val="auto"/>
                <w:sz w:val="20"/>
                <w:szCs w:val="20"/>
                <w:u w:val="none"/>
              </w:rPr>
            </w:pPr>
          </w:p>
        </w:tc>
        <w:tc>
          <w:tcPr>
            <w:tcW w:w="26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60%≤医疗机构覆盖率＜80%</w:t>
            </w:r>
          </w:p>
        </w:tc>
        <w:tc>
          <w:tcPr>
            <w:tcW w:w="7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89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0"/>
                <w:szCs w:val="20"/>
                <w:u w:val="none"/>
              </w:rPr>
            </w:pPr>
          </w:p>
        </w:tc>
        <w:tc>
          <w:tcPr>
            <w:tcW w:w="833" w:type="dxa"/>
            <w:vMerge w:val="continue"/>
            <w:tcBorders>
              <w:top w:val="single" w:color="000000" w:sz="4" w:space="0"/>
              <w:left w:val="nil"/>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0"/>
                <w:szCs w:val="20"/>
                <w:u w:val="none"/>
              </w:rPr>
            </w:pPr>
          </w:p>
        </w:tc>
        <w:tc>
          <w:tcPr>
            <w:tcW w:w="511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iCs w:val="0"/>
                <w:color w:val="auto"/>
                <w:sz w:val="20"/>
                <w:szCs w:val="20"/>
                <w:u w:val="none"/>
              </w:rPr>
            </w:pPr>
          </w:p>
        </w:tc>
        <w:tc>
          <w:tcPr>
            <w:tcW w:w="26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40%≤医疗机构覆盖率＜60%</w:t>
            </w:r>
          </w:p>
        </w:tc>
        <w:tc>
          <w:tcPr>
            <w:tcW w:w="7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5" w:hRule="atLeast"/>
        </w:trPr>
        <w:tc>
          <w:tcPr>
            <w:tcW w:w="89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0"/>
                <w:szCs w:val="20"/>
                <w:u w:val="none"/>
              </w:rPr>
            </w:pPr>
          </w:p>
        </w:tc>
        <w:tc>
          <w:tcPr>
            <w:tcW w:w="833" w:type="dxa"/>
            <w:vMerge w:val="continue"/>
            <w:tcBorders>
              <w:top w:val="single" w:color="000000" w:sz="4" w:space="0"/>
              <w:left w:val="nil"/>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0"/>
                <w:szCs w:val="20"/>
                <w:u w:val="none"/>
              </w:rPr>
            </w:pPr>
          </w:p>
        </w:tc>
        <w:tc>
          <w:tcPr>
            <w:tcW w:w="511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eastAsia" w:ascii="宋体" w:hAnsi="宋体" w:eastAsia="宋体" w:cs="宋体"/>
                <w:i w:val="0"/>
                <w:iCs w:val="0"/>
                <w:color w:val="auto"/>
                <w:sz w:val="20"/>
                <w:szCs w:val="20"/>
                <w:u w:val="none"/>
              </w:rPr>
            </w:pPr>
          </w:p>
        </w:tc>
        <w:tc>
          <w:tcPr>
            <w:tcW w:w="2643" w:type="dxa"/>
            <w:tcBorders>
              <w:top w:val="single" w:color="000000" w:sz="4" w:space="0"/>
              <w:left w:val="single" w:color="000000" w:sz="4" w:space="0"/>
              <w:bottom w:val="nil"/>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医疗机构覆盖率＜40%</w:t>
            </w:r>
          </w:p>
        </w:tc>
        <w:tc>
          <w:tcPr>
            <w:tcW w:w="745" w:type="dxa"/>
            <w:tcBorders>
              <w:top w:val="single" w:color="000000" w:sz="4" w:space="0"/>
              <w:left w:val="single" w:color="000000" w:sz="4" w:space="0"/>
              <w:bottom w:val="nil"/>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40" w:hRule="atLeast"/>
        </w:trPr>
        <w:tc>
          <w:tcPr>
            <w:tcW w:w="896"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kern w:val="0"/>
                <w:sz w:val="20"/>
                <w:szCs w:val="20"/>
                <w:u w:val="none"/>
                <w:lang w:val="en-US" w:eastAsia="zh-CN" w:bidi="ar"/>
              </w:rPr>
            </w:pPr>
            <w:r>
              <w:rPr>
                <w:rFonts w:hint="eastAsia" w:ascii="宋体" w:hAnsi="宋体" w:eastAsia="宋体" w:cs="宋体"/>
                <w:i w:val="0"/>
                <w:iCs w:val="0"/>
                <w:color w:val="auto"/>
                <w:kern w:val="0"/>
                <w:sz w:val="20"/>
                <w:szCs w:val="20"/>
                <w:u w:val="none"/>
                <w:lang w:val="en-US" w:eastAsia="zh-CN" w:bidi="ar"/>
              </w:rPr>
              <w:t>服务</w:t>
            </w:r>
          </w:p>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质量</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（30分）</w:t>
            </w:r>
          </w:p>
        </w:tc>
        <w:tc>
          <w:tcPr>
            <w:tcW w:w="83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医疗机构满</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意度</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（15分）</w:t>
            </w:r>
          </w:p>
        </w:tc>
        <w:tc>
          <w:tcPr>
            <w:tcW w:w="511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1.反映配送企业对各医疗机构信息反馈的处置能力及服务水平。</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2.各级医疗机构可对药品及耗材采购过程中存在的不按购销合同履行供货义务、伴随服务不到位等情况进行平台信息反馈及投诉。</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3.医疗机构提交信息反馈后配送企业须在3个工作日内通过平台提交情况说明，提交情况说明后，医疗机构可对企业回复进行满意度评价，如评价为“不满意”须进行情况说明。</w:t>
            </w:r>
          </w:p>
        </w:tc>
        <w:tc>
          <w:tcPr>
            <w:tcW w:w="26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根据配送企业未在3个工作日内回复及按期回复后被医疗机构评价为“不满意”的次数扣分，一次扣1分，最高扣15分，扣满为止。</w:t>
            </w:r>
          </w:p>
        </w:tc>
        <w:tc>
          <w:tcPr>
            <w:tcW w:w="74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89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0"/>
                <w:szCs w:val="20"/>
                <w:u w:val="none"/>
              </w:rPr>
            </w:pPr>
          </w:p>
        </w:tc>
        <w:tc>
          <w:tcPr>
            <w:tcW w:w="833"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主管部门评价（15分）</w:t>
            </w:r>
          </w:p>
        </w:tc>
        <w:tc>
          <w:tcPr>
            <w:tcW w:w="5111"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1.反映配送企业对医疗机构配送各项工作规范有序。</w:t>
            </w:r>
            <w:r>
              <w:rPr>
                <w:rFonts w:hint="eastAsia" w:ascii="宋体" w:hAnsi="宋体" w:eastAsia="宋体" w:cs="宋体"/>
                <w:i w:val="0"/>
                <w:iCs w:val="0"/>
                <w:color w:val="auto"/>
                <w:kern w:val="0"/>
                <w:sz w:val="20"/>
                <w:szCs w:val="20"/>
                <w:u w:val="none"/>
                <w:lang w:val="en-US" w:eastAsia="zh-CN" w:bidi="ar"/>
              </w:rPr>
              <w:br w:type="textWrapping"/>
            </w:r>
            <w:r>
              <w:rPr>
                <w:rFonts w:hint="eastAsia" w:ascii="宋体" w:hAnsi="宋体" w:eastAsia="宋体" w:cs="宋体"/>
                <w:i w:val="0"/>
                <w:iCs w:val="0"/>
                <w:color w:val="auto"/>
                <w:kern w:val="0"/>
                <w:sz w:val="20"/>
                <w:szCs w:val="20"/>
                <w:u w:val="none"/>
                <w:lang w:val="en-US" w:eastAsia="zh-CN" w:bidi="ar"/>
              </w:rPr>
              <w:t>2.各市州医保部门可对药品及耗材采购过程中存在的不按购销合同履行供货义务、伴随服务不到位等情况进行通报批评。</w:t>
            </w:r>
          </w:p>
        </w:tc>
        <w:tc>
          <w:tcPr>
            <w:tcW w:w="26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受到市州医保部门通报批评的，一次扣3分。</w:t>
            </w:r>
          </w:p>
        </w:tc>
        <w:tc>
          <w:tcPr>
            <w:tcW w:w="745"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89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CESI仿宋-GB2312" w:hAnsi="CESI仿宋-GB2312" w:eastAsia="CESI仿宋-GB2312" w:cs="CESI仿宋-GB2312"/>
                <w:i w:val="0"/>
                <w:iCs w:val="0"/>
                <w:color w:val="auto"/>
                <w:sz w:val="20"/>
                <w:szCs w:val="20"/>
                <w:u w:val="none"/>
              </w:rPr>
            </w:pPr>
          </w:p>
        </w:tc>
        <w:tc>
          <w:tcPr>
            <w:tcW w:w="833"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CESI仿宋-GB2312" w:hAnsi="CESI仿宋-GB2312" w:eastAsia="CESI仿宋-GB2312" w:cs="CESI仿宋-GB2312"/>
                <w:i w:val="0"/>
                <w:iCs w:val="0"/>
                <w:color w:val="auto"/>
                <w:sz w:val="20"/>
                <w:szCs w:val="20"/>
                <w:u w:val="none"/>
              </w:rPr>
            </w:pPr>
          </w:p>
        </w:tc>
        <w:tc>
          <w:tcPr>
            <w:tcW w:w="511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default" w:ascii="CESI仿宋-GB2312" w:hAnsi="CESI仿宋-GB2312" w:eastAsia="CESI仿宋-GB2312" w:cs="CESI仿宋-GB2312"/>
                <w:i w:val="0"/>
                <w:iCs w:val="0"/>
                <w:color w:val="auto"/>
                <w:sz w:val="20"/>
                <w:szCs w:val="20"/>
                <w:u w:val="none"/>
              </w:rPr>
            </w:pPr>
          </w:p>
        </w:tc>
        <w:tc>
          <w:tcPr>
            <w:tcW w:w="26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受到省级部门通报批评的，一次扣5分。</w:t>
            </w:r>
          </w:p>
        </w:tc>
        <w:tc>
          <w:tcPr>
            <w:tcW w:w="74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CESI仿宋-GB2312" w:hAnsi="CESI仿宋-GB2312" w:eastAsia="CESI仿宋-GB2312" w:cs="CESI仿宋-GB2312"/>
                <w:i w:val="0"/>
                <w:iCs w:val="0"/>
                <w:color w:val="auto"/>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896"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CESI仿宋-GB2312" w:hAnsi="CESI仿宋-GB2312" w:eastAsia="CESI仿宋-GB2312" w:cs="CESI仿宋-GB2312"/>
                <w:i w:val="0"/>
                <w:iCs w:val="0"/>
                <w:color w:val="auto"/>
                <w:sz w:val="20"/>
                <w:szCs w:val="20"/>
                <w:u w:val="none"/>
              </w:rPr>
            </w:pPr>
          </w:p>
        </w:tc>
        <w:tc>
          <w:tcPr>
            <w:tcW w:w="833"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CESI仿宋-GB2312" w:hAnsi="CESI仿宋-GB2312" w:eastAsia="CESI仿宋-GB2312" w:cs="CESI仿宋-GB2312"/>
                <w:i w:val="0"/>
                <w:iCs w:val="0"/>
                <w:color w:val="auto"/>
                <w:sz w:val="20"/>
                <w:szCs w:val="20"/>
                <w:u w:val="none"/>
              </w:rPr>
            </w:pPr>
          </w:p>
        </w:tc>
        <w:tc>
          <w:tcPr>
            <w:tcW w:w="5111"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left"/>
              <w:rPr>
                <w:rFonts w:hint="default" w:ascii="CESI仿宋-GB2312" w:hAnsi="CESI仿宋-GB2312" w:eastAsia="CESI仿宋-GB2312" w:cs="CESI仿宋-GB2312"/>
                <w:i w:val="0"/>
                <w:iCs w:val="0"/>
                <w:color w:val="auto"/>
                <w:sz w:val="20"/>
                <w:szCs w:val="20"/>
                <w:u w:val="none"/>
              </w:rPr>
            </w:pPr>
          </w:p>
        </w:tc>
        <w:tc>
          <w:tcPr>
            <w:tcW w:w="26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受到国家通报的，一次扣15分。</w:t>
            </w:r>
          </w:p>
        </w:tc>
        <w:tc>
          <w:tcPr>
            <w:tcW w:w="745"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default" w:ascii="CESI仿宋-GB2312" w:hAnsi="CESI仿宋-GB2312" w:eastAsia="CESI仿宋-GB2312" w:cs="CESI仿宋-GB2312"/>
                <w:i w:val="0"/>
                <w:iCs w:val="0"/>
                <w:color w:val="auto"/>
                <w:sz w:val="20"/>
                <w:szCs w:val="20"/>
                <w:u w:val="none"/>
              </w:rPr>
            </w:pPr>
          </w:p>
        </w:tc>
      </w:tr>
    </w:tbl>
    <w:p>
      <w:pPr>
        <w:ind w:right="7560" w:rightChars="0"/>
        <w:jc w:val="left"/>
        <w:rPr>
          <w:rFonts w:hint="eastAsia" w:ascii="黑体" w:hAnsi="黑体" w:eastAsia="黑体" w:cs="黑体"/>
          <w:color w:val="auto"/>
          <w:spacing w:val="0"/>
          <w:w w:val="100"/>
          <w:kern w:val="0"/>
          <w:sz w:val="32"/>
          <w:szCs w:val="32"/>
          <w:highlight w:val="none"/>
          <w:u w:val="none"/>
          <w:lang w:val="en-US" w:eastAsia="zh-CN" w:bidi="ar"/>
        </w:rPr>
      </w:pPr>
    </w:p>
    <w:p>
      <w:pPr>
        <w:keepNext w:val="0"/>
        <w:keepLines w:val="0"/>
        <w:pageBreakBefore w:val="0"/>
        <w:widowControl w:val="0"/>
        <w:shd w:val="clear" w:color="auto" w:fill="auto"/>
        <w:kinsoku/>
        <w:wordWrap/>
        <w:overflowPunct/>
        <w:topLinePunct w:val="0"/>
        <w:autoSpaceDE/>
        <w:autoSpaceDN/>
        <w:bidi w:val="0"/>
        <w:adjustRightInd/>
        <w:snapToGrid/>
        <w:spacing w:before="0" w:after="0" w:line="574" w:lineRule="exact"/>
        <w:ind w:left="0" w:right="7560" w:rightChars="0" w:firstLine="0" w:firstLineChars="0"/>
        <w:jc w:val="both"/>
        <w:textAlignment w:val="auto"/>
        <w:outlineLvl w:val="9"/>
        <w:rPr>
          <w:rFonts w:hint="eastAsia" w:ascii="方正小标宋简体" w:hAnsi="方正小标宋简体" w:eastAsia="方正小标宋简体" w:cs="方正小标宋简体"/>
          <w:spacing w:val="-11"/>
          <w:sz w:val="44"/>
          <w:szCs w:val="44"/>
          <w:u w:val="none"/>
          <w:lang w:val="en-US" w:eastAsia="zh-CN"/>
        </w:rPr>
        <w:sectPr>
          <w:pgSz w:w="11906" w:h="16838"/>
          <w:pgMar w:top="2098" w:right="1474" w:bottom="1587" w:left="1984" w:header="851" w:footer="992" w:gutter="0"/>
          <w:pgNumType w:fmt="numberInDash"/>
          <w:cols w:space="720" w:num="1"/>
          <w:docGrid w:type="lines" w:linePitch="312" w:charSpace="0"/>
        </w:sectPr>
      </w:pPr>
    </w:p>
    <w:p>
      <w:pPr>
        <w:pStyle w:val="2"/>
        <w:ind w:left="0" w:leftChars="0" w:firstLine="0" w:firstLineChars="0"/>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altName w:val="微软雅黑"/>
    <w:panose1 w:val="02000000000000000000"/>
    <w:charset w:val="86"/>
    <w:family w:val="auto"/>
    <w:pitch w:val="default"/>
    <w:sig w:usb0="00000000" w:usb1="00000000" w:usb2="00082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 w:name="CESI仿宋-GB2312">
    <w:altName w:val="仿宋"/>
    <w:panose1 w:val="02000500000000000000"/>
    <w:charset w:val="00"/>
    <w:family w:val="auto"/>
    <w:pitch w:val="default"/>
    <w:sig w:usb0="00000000" w:usb1="00000000" w:usb2="00000010" w:usb3="00000000" w:csb0="0004000F" w:csb1="00000000"/>
  </w:font>
  <w:font w:name="方正楷体_GB2312">
    <w:altName w:val="楷体_GB2312"/>
    <w:panose1 w:val="02000000000000000000"/>
    <w:charset w:val="86"/>
    <w:family w:val="auto"/>
    <w:pitch w:val="default"/>
    <w:sig w:usb0="00000000" w:usb1="00000000" w:usb2="00000012" w:usb3="00000000" w:csb0="00040001" w:csb1="00000000"/>
  </w:font>
  <w:font w:name="CESI黑体-GB2312">
    <w:altName w:val="黑体"/>
    <w:panose1 w:val="02000500000000000000"/>
    <w:charset w:val="00"/>
    <w:family w:val="auto"/>
    <w:pitch w:val="default"/>
    <w:sig w:usb0="00000000" w:usb1="00000000" w:usb2="00000012" w:usb3="00000000" w:csb0="0004000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48A1E04"/>
    <w:multiLevelType w:val="singleLevel"/>
    <w:tmpl w:val="348A1E04"/>
    <w:lvl w:ilvl="0" w:tentative="0">
      <w:start w:val="4"/>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EwNDM5ZDk0NDQzNmRlYzU3YzNlM2RkZWMwOWYwN2EifQ=="/>
  </w:docVars>
  <w:rsids>
    <w:rsidRoot w:val="66CF0413"/>
    <w:rsid w:val="00DA46BE"/>
    <w:rsid w:val="1EAA17B4"/>
    <w:rsid w:val="348460A0"/>
    <w:rsid w:val="66CF04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index 5"/>
    <w:basedOn w:val="1"/>
    <w:next w:val="1"/>
    <w:qFormat/>
    <w:uiPriority w:val="0"/>
    <w:pPr>
      <w:ind w:left="1680"/>
    </w:pPr>
  </w:style>
  <w:style w:type="paragraph" w:styleId="3">
    <w:name w:val="footer"/>
    <w:basedOn w:val="1"/>
    <w:next w:val="2"/>
    <w:unhideWhenUsed/>
    <w:qFormat/>
    <w:uiPriority w:val="99"/>
    <w:pPr>
      <w:tabs>
        <w:tab w:val="center" w:pos="4153"/>
        <w:tab w:val="right" w:pos="8306"/>
      </w:tabs>
      <w:snapToGrid w:val="0"/>
      <w:jc w:val="left"/>
    </w:pPr>
    <w:rPr>
      <w:sz w:val="18"/>
      <w:szCs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7">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4355</Words>
  <Characters>4469</Characters>
  <Lines>0</Lines>
  <Paragraphs>0</Paragraphs>
  <TotalTime>6</TotalTime>
  <ScaleCrop>false</ScaleCrop>
  <LinksUpToDate>false</LinksUpToDate>
  <CharactersWithSpaces>4523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2025-06-26T00:12:00Z</dcterms:created>
  <dc:creator>豆豆</dc:creator>
  <cp:lastModifiedBy>好想吃糖油粑粑</cp:lastModifiedBy>
  <cp:lastPrinted>2025-06-26T00:27:00Z</cp:lastPrinted>
  <dcterms:modified xsi:type="dcterms:W3CDTF">2025-06-26T00:53:50Z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E38D9F87AB5C4BCBBC481A5950EE73B1_13</vt:lpwstr>
  </property>
  <property fmtid="{D5CDD505-2E9C-101B-9397-08002B2CF9AE}" pid="4" name="KSOTemplateDocerSaveRecord">
    <vt:lpwstr>eyJoZGlkIjoiYzA4OWE3MjBmMTQ3NWQxODcyMTAwODljZDlhNzIwZjUiLCJ1c2VySWQiOiIyNzgzNzgxNTMifQ==</vt:lpwstr>
  </property>
</Properties>
</file>